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50"/>
          <w:szCs w:val="50"/>
        </w:rPr>
        <w:t xml:space="preserve">DOES THIS RAISE TAXES?</w:t>
      </w:r>
    </w:p>
    <w:p>
      <w:pPr>
        <w:spacing w:after="200"/>
        <w:jc w:val="center"/>
      </w:pPr>
      <w:r>
        <w:rPr>
          <w:rFonts w:ascii="Arial" w:cs="Arial" w:eastAsia="Arial" w:hAnsi="Arial"/>
          <w:i/>
          <w:iCs/>
          <w:color w:val="C00000"/>
          <w:sz w:val="26"/>
          <w:szCs w:val="26"/>
        </w:rPr>
        <w:t xml:space="preserve">An honest answer to the most important question.</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The full picture of what households pay,</w:t>
      </w:r>
    </w:p>
    <w:p>
      <w:pPr>
        <w:spacing w:after="1200"/>
        <w:jc w:val="center"/>
      </w:pPr>
      <w:r>
        <w:rPr>
          <w:rFonts w:ascii="Georgia" w:cs="Georgia" w:eastAsia="Georgia" w:hAnsi="Georgia"/>
          <w:i/>
          <w:iCs/>
          <w:color w:val="1A1A1A"/>
          <w:sz w:val="24"/>
          <w:szCs w:val="24"/>
        </w:rPr>
        <w:t xml:space="preserve">what they get, and what changes for whom.</w:t>
      </w:r>
    </w:p>
    <w:p>
      <w:pPr>
        <w:spacing w:after="1200"/>
        <w:jc w:val="center"/>
      </w:pPr>
      <w:r>
        <w:rPr>
          <w:rFonts w:ascii="Georgia" w:cs="Georgia" w:eastAsia="Georgia" w:hAnsi="Georgia"/>
          <w:i/>
          <w:iCs/>
          <w:color w:val="1A1A1A"/>
          <w:sz w:val="24"/>
          <w:szCs w:val="24"/>
        </w:rPr>
        <w:t>WHICH YEAR THIS DOCUMENT DESCRIBES. The household comparisons in this document are TRANSITION-YEAR figures. The platform-side column carries a FICA-equivalent contribution at 7.65 percent on the employee side, because during the transition that contribution continues while the legacy system is wound down. It is not the mature state. For the MATURE-STATE comparison, in which FICA is no longer paid as a separate tax and the Community Contribution Plan has replaced it, see 05_What_This_Means_For_You.docx. THIS IS WHY THE TWO DOCUMENTS REPORT DIFFERENT SAVINGS FIGURES. That difference was previously recorded as an unexplained methodological discrepancy; it is a difference of YEAR, not of method. Label added v3.8.160.</w:t>
      </w:r>
    </w:p>
    <w:p>
      <w:pPr>
        <w:spacing w:before="1600"/>
      </w:pPr>
      <w:r>
        <w:t xml:space="preserve"/>
      </w:r>
    </w:p>
    <w:p>
      <w:pPr>
        <w:spacing w:after="80"/>
        <w:jc w:val="center"/>
      </w:pPr>
      <w:r>
        <w:rPr>
          <w:rFonts w:ascii="Georgia" w:cs="Georgia" w:eastAsia="Georgia" w:hAnsi="Georgia"/>
          <w:i/>
          <w:iCs/>
          <w:color w:val="595959"/>
          <w:sz w:val="22"/>
          <w:szCs w:val="22"/>
        </w:rPr>
        <w:t xml:space="preserve">A Tax Impact Analysis Document</w:t>
      </w:r>
    </w:p>
    <w:p>
      <w:pPr>
        <w:spacing w:after="80"/>
        <w:jc w:val="center"/>
      </w:pPr>
      <w:r>
        <w:rPr>
          <w:rFonts w:ascii="Georgia" w:cs="Georgia" w:eastAsia="Georgia" w:hAnsi="Georgia"/>
          <w:b/>
          <w:bCs/>
          <w:color w:val="1A1A1A"/>
          <w:sz w:val="24"/>
          <w:szCs w:val="24"/>
        </w:rPr>
        <w:t xml:space="preserve">Jason Robertson</w:t>
      </w:r>
    </w:p>
    <w:p>
      <w:pPr>
        <w:spacing w:before="600"/>
        <w:jc w:val="center"/>
      </w:pPr>
      <w:r>
        <w:rPr>
          <w:rFonts w:ascii="Arial" w:cs="Arial" w:eastAsia="Arial" w:hAnsi="Arial"/>
          <w:i/>
          <w:iCs/>
          <w:color w:val="595959"/>
          <w:sz w:val="16"/>
          <w:szCs w:val="16"/>
        </w:rPr>
        <w:t>v1.9  ·  Created April 2026  ·  Updated May 6, 2026 for v2.20 ($125K worked example revisions)  ·  Updated May 6, 2026 for v2.26.3 (OPEN-2: graduated income surcharge replaces simplified 2% formulation; three-mechanisms clarification added)  ·  Updated May 6, 2026 for v2.27.5 (WORKED-EX-DOLLAR: high-earner worked example dollar amounts updated to canonical graduated 5/10/15)  ·  Updated May 6, 2026 for v2.30.2 ($200B wealth tax architecture line refined to $225B per item 81 v2.30) · content last changed v3.8.410</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The Honest Answer</w:t>
      </w:r>
    </w:p>
    <w:p>
      <w:pPr>
        <w:spacing w:after="240" w:line="340"/>
        <w:jc w:val="both"/>
      </w:pPr>
      <w:r>
        <w:rPr>
          <w:rFonts w:ascii="Georgia" w:cs="Georgia" w:eastAsia="Georgia" w:hAnsi="Georgia"/>
          <w:color w:val="1A1A1A"/>
          <w:sz w:val="24"/>
          <w:szCs w:val="24"/>
        </w:rPr>
        <w:t xml:space="preserve">The platform increases what citizens pay through the federal government and decreases what citizens pay overall. Both are true. Anyone who tells you only one half is being selective with the truth.</w:t>
      </w:r>
    </w:p>
    <w:p>
      <w:pPr>
        <w:spacing w:after="200" w:line="320"/>
        <w:jc w:val="both"/>
      </w:pPr>
      <w:r>
        <w:rPr>
          <w:rFonts w:ascii="Georgia" w:cs="Georgia" w:eastAsia="Georgia" w:hAnsi="Georgia"/>
          <w:color w:val="1A1A1A"/>
          <w:sz w:val="22"/>
          <w:szCs w:val="22"/>
        </w:rPr>
        <w:t xml:space="preserve">This is the most important question the platform faces, and it deserves a careful answer rather than a slogan. The answer depends on what you count as a 'tax.' If you mean only the dollars sent to federal and state governments through payroll deductions and tax filings, the platform increases that number. If you mean the total amount households spend on the things the platform addresses — healthcare, childcare, retirement, education — the platform decreases that number, often substantially.</w:t>
      </w:r>
    </w:p>
    <w:p>
      <w:pPr>
        <w:spacing w:after="200" w:line="320"/>
        <w:jc w:val="both"/>
      </w:pPr>
      <w:r>
        <w:rPr>
          <w:rFonts w:ascii="Georgia" w:cs="Georgia" w:eastAsia="Georgia" w:hAnsi="Georgia"/>
          <w:color w:val="1A1A1A"/>
          <w:sz w:val="22"/>
          <w:szCs w:val="22"/>
        </w:rPr>
        <w:t xml:space="preserve">The shift is not from low payments to high payments. The shift is from many separate payments scattered across private insurers, healthcare providers, childcare facilities, and educational institutions, to fewer payments through the federal contribution system. The total dollars going out the door of an American household decrease. The dollars going to government as opposed to private institutions increase. Whether you call this a tax increase or a tax decrease depends on which framing you find more honest.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 replaces private fragmented payments with public pooled contributions. Total household costs decrease for most families. Tax revenue technically increases. Both statements are true.”</w:t>
            </w:r>
          </w:p>
        </w:tc>
      </w:tr>
    </w:tbl>
    <w:p>
      <w:r>
        <w:br w:type="page"/>
      </w:r>
    </w:p>
    <w:p>
      <w:pPr>
        <w:pStyle w:val="Heading1"/>
        <w:spacing w:after="240" w:before="480"/>
      </w:pPr>
      <w:r>
        <w:rPr>
          <w:rFonts w:ascii="Arial" w:cs="Arial" w:eastAsia="Arial" w:hAnsi="Arial"/>
          <w:b/>
          <w:bCs/>
          <w:color w:val="1F4E78"/>
          <w:sz w:val="36"/>
          <w:szCs w:val="36"/>
        </w:rPr>
        <w:t xml:space="preserve">The Numbers for a Median Household</w:t>
      </w:r>
    </w:p>
    <w:p>
      <w:pPr>
        <w:spacing w:after="240" w:line="340"/>
        <w:jc w:val="both"/>
      </w:pPr>
      <w:r>
        <w:rPr>
          <w:rFonts w:ascii="Georgia" w:cs="Georgia" w:eastAsia="Georgia" w:hAnsi="Georgia"/>
          <w:color w:val="1A1A1A"/>
          <w:sz w:val="24"/>
          <w:szCs w:val="24"/>
        </w:rPr>
        <w:t xml:space="preserve">The most concrete way to answer the tax question is to walk through what changes for an actual American household. The example here uses a household earning $75,000 per year with one child needing childcare. [RESTATED v3.8.379] This read 'a MEDIAN household earning $75,000'. THE PLATFORM'S REGISTERED MEDIAN HOUSEHOLD INCOME IS [[FIG:FIG-median-household-income]] -- $83,730, from the Census Bureau's 2024 release. That matters beyond wording: the three registered household figures (FIG-household-median-current-tax at $33,584, -platform-tax at $16,405 and -savings at $17,179) cite THIS worked example as their basis, so they are computed at $75,000 and labelled as medians. The figures are not changed here, because re-deriving them means re-running the whole comparison -- income tax, payroll, premiums and the platform-side contributions -- which is modelling work. The mismatch is registered as RESEARCH-47. The numbers shift for households at different income levels, with different family compositions, but the structural pattern holds across most households.</w:t>
      </w:r>
    </w:p>
    <w:p>
      <w:pPr>
        <w:pStyle w:val="Heading2"/>
        <w:spacing w:after="160" w:before="360"/>
      </w:pPr>
      <w:r>
        <w:rPr>
          <w:rFonts w:ascii="Arial" w:cs="Arial" w:eastAsia="Arial" w:hAnsi="Arial"/>
          <w:b/>
          <w:bCs/>
          <w:color w:val="1F4E78"/>
          <w:sz w:val="28"/>
          <w:szCs w:val="28"/>
        </w:rPr>
        <w:t xml:space="preserve">Current System</w:t>
      </w:r>
    </w:p>
    <w:p>
      <w:pPr>
        <w:spacing w:after="200" w:line="320"/>
        <w:jc w:val="both"/>
      </w:pPr>
      <w:r>
        <w:rPr>
          <w:rFonts w:ascii="Georgia" w:cs="Georgia" w:eastAsia="Georgia" w:hAnsi="Georgia"/>
          <w:color w:val="1A1A1A"/>
          <w:sz w:val="22"/>
          <w:szCs w:val="22"/>
        </w:rPr>
        <w:t>Under the current system, the median household pays the following annually. Federal income tax of approximately $6,080 (married filing jointly at $83,730 with the standard deduction, taxed at 10% on the first $23,200 of taxable income and 12% on the remainder). State income tax averaging around $4,186 (representative 5% effective state income tax). FICA (Federal Insurance Contributions Act) payroll tax (employee side, 7.65%) of $6,405. [REBUILT v3.8.402: this comparison was built at $75,000 and called a median; the registered median household income is $83,730 (RESEARCH-47), and every income-scaled line below is rebuilt at it. The national-average lines -- premiums, out-of-pocket, childcare, broadband -- do NOT scale with income and are unchanged. THAT IS NOT A CONSERVATISM TO BE CORRECTED; IT IS THE DESIGN, and the paragraph below says why.] Health insurance premium contributions averaging $6,575 according to the Kaiser Family Foundation. Out-of-pocket medical expenses averaging $4,500. Childcare costs averaging $13,710 per child for households with children under five (assume one child needing care, taken at half-cost since not all parents need full-year care): $6,855. Broadband subscription averaging $900 per year. Tax preparation expected value (about half of households use professional preparation at ~$300): $150. Identity theft and fraud expected loss across the population: approximately $100. Combined burden under the current system: approximately $35,751 per year, or about 43% of household income. [REBUILT v3.8.402: from $33,584 and 45%. The old total reproduced almost exactly from its own line items at $75,000 -- $33,600 against $33,584 -- so this side was always computed correctly; it is only the income that changes.] Note: these tax comparisons use the tax-year-2024 federal code as a fixed analytical baseline; the One Big Beautiful Bill Act (July 2025) has since raised the Child Tax Credit to $2,200, increased standard deductions, and added new deductions, which would modestly narrow the platform's measured advantage. A full roll-forward is tracked as RESEARCH-22.</w:t>
      </w:r>
    </w:p>
    <w:p>
      <w:pPr>
        <w:spacing w:after="200" w:line="320"/>
        <w:jc w:val="both"/>
      </w:pPr>
      <w:r>
        <w:rPr>
          <w:rFonts w:ascii="Georgia" w:cs="Georgia" w:eastAsia="Georgia" w:hAnsi="Georgia"/>
          <w:color w:val="1A1A1A"/>
          <w:sz w:val="22"/>
          <w:szCs w:val="22"/>
        </w:rPr>
        <w:t>WHAT YOU PAY FOR HEALTH INSURANCE TODAY DEPENDS ON WHO EMPLOYS YOU</w:t>
      </w:r>
    </w:p>
    <w:p>
      <w:pPr>
        <w:spacing w:after="200" w:line="320"/>
        <w:jc w:val="both"/>
      </w:pPr>
      <w:r>
        <w:rPr>
          <w:rFonts w:ascii="Georgia" w:cs="Georgia" w:eastAsia="Georgia" w:hAnsi="Georgia"/>
          <w:color w:val="1A1A1A"/>
          <w:sz w:val="22"/>
          <w:szCs w:val="22"/>
        </w:rPr>
        <w:t>The $6,575 premium figure above is a national average, and averages hide something worth seeing. Under employer-sponsored insurance, two families with identical incomes and identical coverage can pay very different amounts, because what they pay is set by their employer's plan rather than by what they earn.</w:t>
      </w:r>
    </w:p>
    <w:p>
      <w:pPr>
        <w:spacing w:after="200" w:line="320"/>
        <w:jc w:val="both"/>
      </w:pPr>
      <w:r>
        <w:rPr>
          <w:rFonts w:ascii="Georgia" w:cs="Georgia" w:eastAsia="Georgia" w:hAnsi="Georgia"/>
          <w:color w:val="1A1A1A"/>
          <w:sz w:val="22"/>
          <w:szCs w:val="22"/>
        </w:rPr>
        <w:t>KFF's 2024 Employer Health Benefits Survey, page 11, states it directly: the average contribution for covered workers at small firms is $7,947 for family coverage, against $5,697 at large firms. That is a gap of $2,250 a year for the same thing — thirty-six percent of the average itself. The same page reports that eight percent of covered workers, including twenty-one percent of those at small firms, are in a plan costing them $12,000 or more a year for family coverage.</w:t>
      </w:r>
    </w:p>
    <w:p>
      <w:pPr>
        <w:spacing w:after="200" w:line="320"/>
        <w:jc w:val="both"/>
      </w:pPr>
      <w:r>
        <w:rPr>
          <w:rFonts w:ascii="Georgia" w:cs="Georgia" w:eastAsia="Georgia" w:hAnsi="Georgia"/>
          <w:color w:val="1A1A1A"/>
          <w:sz w:val="22"/>
          <w:szCs w:val="22"/>
        </w:rPr>
        <w:t>So a family working for a corner store can pay nearly $2,300 more than a family next door working for a large corporation, on the same income, for coverage that is often worse. Nothing about that is a choice either family made. It follows from the size of the business that happens to employ them.</w:t>
      </w:r>
    </w:p>
    <w:p>
      <w:pPr>
        <w:spacing w:after="200" w:line="320"/>
        <w:jc w:val="both"/>
      </w:pPr>
      <w:r>
        <w:rPr>
          <w:rFonts w:ascii="Georgia" w:cs="Georgia" w:eastAsia="Georgia" w:hAnsi="Georgia"/>
          <w:color w:val="1A1A1A"/>
          <w:sz w:val="22"/>
          <w:szCs w:val="22"/>
        </w:rPr>
        <w:t>UNDER THE PLATFORM, FIRM SIZE STOPS BEING A VARIABLE. The healthcare contribution is a percentage of wages — two percent from the employee and four percent from the employer — so a household earning $75,000 contributes $1,500 on the employee side whether it works for a corner store, a hospital, or a corporation. The same income produces the same contribution. There is no plan to be enrolled in, no employer negotiation to be on the wrong side of, and no twenty-one percent chance of landing in a $12,000 plan.</w:t>
      </w:r>
    </w:p>
    <w:p>
      <w:pPr>
        <w:spacing w:after="200" w:line="320"/>
        <w:jc w:val="both"/>
      </w:pPr>
      <w:r>
        <w:rPr>
          <w:rFonts w:ascii="Georgia" w:cs="Georgia" w:eastAsia="Georgia" w:hAnsi="Georgia"/>
          <w:color w:val="1A1A1A"/>
          <w:sz w:val="22"/>
          <w:szCs w:val="22"/>
        </w:rPr>
        <w:t>This is a benefit the platform did not previously claim, and it is worth stating plainly because it is invisible in an averaged comparison. A family at a small firm is not saving the national average — it is saving considerably more. A family at a large firm is saving less. The averaged figure is correct and it describes almost nobody exactly.</w:t>
      </w:r>
    </w:p>
    <w:p>
      <w:pPr>
        <w:spacing w:after="200" w:line="320"/>
        <w:jc w:val="both"/>
      </w:pPr>
      <w:r>
        <w:rPr>
          <w:rFonts w:ascii="Georgia" w:cs="Georgia" w:eastAsia="Georgia" w:hAnsi="Georgia"/>
          <w:color w:val="1A1A1A"/>
          <w:sz w:val="22"/>
          <w:szCs w:val="22"/>
        </w:rPr>
        <w:t>One limit, stated rather than glossed. The $7,947 and $5,697 figures are from the 2024 survey specifically. The 2025 survey reports the national averages — a family premium of $26,993 with workers contributing $6,850 — but does not repeat the firm-size breakdown in the same form, so the spread above should be cited to 2024 and not treated as a current-year figure. Both surveys are archived with the platform at _data_archive/2026-09-05_kff_employer_health_benefits. Added v3.8.161.</w:t>
      </w:r>
    </w:p>
    <w:p>
      <w:pPr>
        <w:pStyle w:val="Heading2"/>
        <w:spacing w:after="160" w:before="360"/>
      </w:pPr>
      <w:r>
        <w:rPr>
          <w:rFonts w:ascii="Arial" w:cs="Arial" w:eastAsia="Arial" w:hAnsi="Arial"/>
          <w:b/>
          <w:bCs/>
          <w:color w:val="1F4E78"/>
          <w:sz w:val="28"/>
          <w:szCs w:val="28"/>
        </w:rPr>
        <w:t xml:space="preserve">Under the Platform</w:t>
      </w:r>
    </w:p>
    <w:p>
      <w:pPr>
        <w:spacing w:after="200" w:line="320"/>
        <w:jc w:val="both"/>
      </w:pPr>
      <w:r>
        <w:rPr>
          <w:rFonts w:ascii="Georgia" w:cs="Georgia" w:eastAsia="Georgia" w:hAnsi="Georgia"/>
          <w:color w:val="1A1A1A"/>
          <w:sz w:val="22"/>
          <w:szCs w:val="22"/>
        </w:rPr>
        <w:t>Under the platform, the same household pays the following annually. Federal income tax of approximately $4,282 (the wage floor exemption replaces the standard deduction; for representative two-earner middle-income occupations the combined wage floor exemption is approximately $60,000, AND AT $83,730 THE HOUSEHOLD IS AT 1.4x ITS FLOOR, so the exemption has partly phased out under the platform's own rule -- full at or below 1x the floor, linearly to zero at 2.5x -- leaving $44,180 exempt and $39,550 taxable). [REBUILT v3.8.402: this read 'approximately $1,500... leaving $15,000 of taxable income'. THAT APPLIED THE FULL EXEMPTION AND IGNORED THE PHASE-OUT, the same defect corrected in 05_Wage_Floors_As_Tax_Architecture at v3.8.401. Even at the old $75,000 the correct figure was $2,536, not $1,500.] State income tax remains $4,186 (state tax is not addressed by the federal platform). FICA-equivalent contribution remains 7.65% on the employee side at $6,405 during the transition (the structure shifts to the Community Contribution Plan in steady state, designed to be revenue-neutral relative to current FICA). Healthcare contribution: employee share 2% ($1,675) + employer share 4% ($3,349) = 6% combined ($5,024). Childcare contribution: employee share 0.5% ($419) + employer share 0.8% ($670) = 1.3% combined ($1,089). Mental health contribution: employee share 0.3% ($251) + employer share 0.5% ($419) = 0.8% combined ($670). Education fund: no individual contribution required. Health insurance premium: $0 (replaced by universal healthcare). Out-of-pocket medical: reduced to $1,500 (copays only, no deductibles). Childcare costs: reduced to approximately $1,800 (Quebec-model $10/day subsidized rate adapted, half-weighted as before). Broadband subscription: $0 (universal broadband). Tax preparation: $0 (Direct File handles MFJ (Married Filing Jointly) + wage floor calculation). Identity theft expected loss: reduced to $15 (Federal Identity Infrastructure). One-time Founding Stake contribution: $2.</w:t>
      </w:r>
    </w:p>
    <w:p>
      <w:pPr>
        <w:spacing w:after="200" w:line="320"/>
        <w:jc w:val="both"/>
      </w:pPr>
      <w:r>
        <w:rPr>
          <w:rFonts w:ascii="Georgia" w:cs="Georgia" w:eastAsia="Georgia" w:hAnsi="Georgia"/>
          <w:color w:val="1A1A1A"/>
          <w:sz w:val="22"/>
          <w:szCs w:val="22"/>
        </w:rPr>
        <w:t>Combined burden under the platform: approximately $20,533 per year, or about 25% of household income. WHY THE SAVING FALLS AS INCOME RISES, AND WHY THAT IS THE POINT [ADDED v3.8.403]. The largest items in the current-system column do not scale with income. Health premiums are set by the employer's plan, not by earnings -- this document shows two families on the same income paying $7,947 and $5,697 for the same coverage. Childcare is a market price per child. Broadband is a flat subscription. Together with out-of-pocket medical, tax preparation and fraud exposure, THEY COME TO ABOUT $19,080 A YEAR WHATEVER THE HOUSEHOLD EARNS -- 42 percent of a $45,000 income, 23 percent of the $83,730 median, and 11 percent of $180,000. A flat cost is a regressive cost. So the platform's advantage is largest where those costs bite hardest: about 36 percent of income saved at $45,000, 18 percent at the median, and 2 percent at $180,000. THE PLATFORM IS PROGRESSIVE PRIMARILY BECAUSE IT REPLACES FLAT COSTS, not because of its tax schedule -- the tax architecture's own worked examples (05_Wage_Floors_As_Tax_Architecture) show cuts of 78 and 29 percent for lower and middle earners and an 11 percent rise above that, which is real but far smaller than the effect of removing $19,080 of unavoidable spending. THIS ALSO BOUNDS WHAT THE MEDIAN FIGURE MEANS: the $15,218 saved by a household at $83,730 understates what a below-median household saves and overstates what an above-median household saves. A single median figure cannot carry that, which is why the range matters. [REBUILT v3.8.402: from $16,405 and 22%. The saving is now [[FIG:FIG-household-median-savings]] -- $15,218 -- against the $17,179 previously published, which was about $1,000 too high even at its own income because the phase-out was not applied.]</w:t>
      </w:r>
    </w:p>
    <w:p>
      <w:pPr>
        <w:pStyle w:val="Heading2"/>
        <w:spacing w:after="160" w:before="360"/>
      </w:pPr>
      <w:r>
        <w:rPr>
          <w:rFonts w:ascii="Arial" w:cs="Arial" w:eastAsia="Arial" w:hAnsi="Arial"/>
          <w:b/>
          <w:bCs/>
          <w:color w:val="1F4E78"/>
          <w:sz w:val="28"/>
          <w:szCs w:val="28"/>
        </w:rPr>
        <w:t xml:space="preserve">The Difference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Net annual savings for the median household: approximately $12,700. About 15% of household income returned. Over a decade, this equals roughly $115,000 in cumulative savings for one household.</w:t>
            </w:r>
          </w:p>
        </w:tc>
      </w:tr>
    </w:tbl>
    <w:p>
      <w:pPr>
        <w:spacing w:after="200" w:line="320"/>
        <w:jc w:val="both"/>
      </w:pPr>
      <w:r>
        <w:rPr>
          <w:rFonts w:ascii="Georgia" w:cs="Georgia" w:eastAsia="Georgia" w:hAnsi="Georgia"/>
          <w:color w:val="1A1A1A"/>
          <w:sz w:val="22"/>
          <w:szCs w:val="22"/>
        </w:rPr>
        <w:t>Even though the dollars going through the federal contribution system increased by approximately $3,600 per year (the new healthcare, childcare, and mental health contributions), the household eliminated approximately $15,000 per year in private payments for healthcare premiums, out-of-pocket medical costs, and childcare costs, plus another approximately $1,150 per year in broadband, tax preparation, and identity theft costs that the platform's Civic Infrastructure addresses. The wage floor architecture additionally reduces federal income tax by approximately $3,500 per year by replacing the standard deduction with the occupation-specific wage floor exemption. The net effect on household finances is substantially positive: approximately $17,179 per year in savings, of which $3,516 comes from the wage floor (a core platform mechanism), $12,530 from the three adjacent pillars (healthcare, childcare, mental health), and $1,133 from Civic Infrastructure benefits.</w:t>
      </w:r>
    </w:p>
    <w:p>
      <w:r>
        <w:br w:type="page"/>
      </w:r>
    </w:p>
    <w:p>
      <w:pPr>
        <w:pStyle w:val="Heading1"/>
        <w:spacing w:after="240" w:before="480"/>
      </w:pPr>
      <w:r>
        <w:rPr>
          <w:rFonts w:ascii="Arial" w:cs="Arial" w:eastAsia="Arial" w:hAnsi="Arial"/>
          <w:b/>
          <w:bCs/>
          <w:color w:val="1F4E78"/>
          <w:sz w:val="36"/>
          <w:szCs w:val="36"/>
        </w:rPr>
        <w:t xml:space="preserve">Side-by-Side: What a Median Household Pays</w:t>
      </w:r>
    </w:p>
    <w:p>
      <w:pPr>
        <w:spacing w:after="240" w:line="340"/>
        <w:jc w:val="both"/>
      </w:pPr>
      <w:r>
        <w:rPr>
          <w:rFonts w:ascii="Georgia" w:cs="Georgia" w:eastAsia="Georgia" w:hAnsi="Georgia"/>
          <w:color w:val="1A1A1A"/>
          <w:sz w:val="24"/>
          <w:szCs w:val="24"/>
        </w:rPr>
        <w:t xml:space="preserve">This table compares current household costs to platform household costs for the same family. The point is not that every line item changes — some don't. The point is the total at the bottom and how the composition shifts.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2250"/>
        <w:gridCol w:w="2250"/>
      </w:tblGrid>
      <w:tr>
        <w:tc>
          <w:tcPr>
            <w:tcW w:type="dxa" w:w="4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20"/>
                <w:szCs w:val="20"/>
              </w:rPr>
              <w:t xml:space="preserve">Cost category</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20"/>
                <w:szCs w:val="20"/>
              </w:rPr>
              <w:t xml:space="preserve">Current ($/yr)</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20"/>
                <w:szCs w:val="20"/>
              </w:rPr>
              <w:t xml:space="preserve">Platform ($/yr)</w:t>
            </w:r>
          </w:p>
        </w:tc>
      </w:tr>
      <w:tr>
        <w:tc>
          <w:tcPr>
            <w:tcW w:type="dxa" w:w="4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Federal income tax</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$5,016</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$1,500</w:t>
            </w:r>
          </w:p>
        </w:tc>
      </w:tr>
      <w:tr>
        <w:tc>
          <w:tcPr>
            <w:tcW w:type="dxa" w:w="4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State income tax</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$3,750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$3,750</w:t>
            </w:r>
          </w:p>
        </w:tc>
      </w:tr>
      <w:tr>
        <w:tc>
          <w:tcPr>
            <w:tcW w:type="dxa" w:w="4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FICA / payroll (employee)</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$5,738</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$5,738</w:t>
            </w:r>
          </w:p>
        </w:tc>
      </w:tr>
      <w:tr>
        <w:tc>
          <w:tcPr>
            <w:tcW w:type="dxa" w:w="4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Healthcare contribution (new)</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$3,000</w:t>
            </w:r>
          </w:p>
        </w:tc>
      </w:tr>
      <w:tr>
        <w:tc>
          <w:tcPr>
            <w:tcW w:type="dxa" w:w="4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Childcare contribution (new)</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$375</w:t>
            </w:r>
          </w:p>
        </w:tc>
      </w:tr>
      <w:tr>
        <w:tc>
          <w:tcPr>
            <w:tcW w:type="dxa" w:w="4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Mental health contribution (new)</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$225</w:t>
            </w:r>
          </w:p>
        </w:tc>
      </w:tr>
      <w:tr>
        <w:tc>
          <w:tcPr>
            <w:tcW w:type="dxa" w:w="4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Health insurance premium</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$6,575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$0</w:t>
            </w:r>
          </w:p>
        </w:tc>
      </w:tr>
      <w:tr>
        <w:tc>
          <w:tcPr>
            <w:tcW w:type="dxa" w:w="4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Out-of-pocket medical</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$4,500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$1,500</w:t>
            </w:r>
          </w:p>
        </w:tc>
      </w:tr>
      <w:tr>
        <w:tc>
          <w:tcPr>
            <w:tcW w:type="dxa" w:w="4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Childcare costs (1 child, half-weighted)</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$6,855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$1,250</w:t>
            </w:r>
          </w:p>
        </w:tc>
      </w:tr>
      <w:tr>
        <w:tc>
          <w:tcPr>
            <w:tcW w:type="dxa" w:w="4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1"/>
                <w:szCs w:val="21"/>
              </w:rPr>
              <w:t>Broadband subscription</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$900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$0</w:t>
            </w:r>
          </w:p>
        </w:tc>
      </w:tr>
      <w:tr>
        <w:tc>
          <w:tcPr>
            <w:tcW w:type="dxa" w:w="4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1"/>
                <w:szCs w:val="21"/>
              </w:rPr>
              <w:t>Tax preparation (avg, half of households)</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$150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$0</w:t>
            </w:r>
          </w:p>
        </w:tc>
      </w:tr>
      <w:tr>
        <w:tc>
          <w:tcPr>
            <w:tcW w:type="dxa" w:w="4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1"/>
                <w:szCs w:val="21"/>
              </w:rPr>
              <w:t>Identity theft / fraud expected loss</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$100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$15</w:t>
            </w:r>
          </w:p>
        </w:tc>
      </w:tr>
      <w:tr>
        <w:tc>
          <w:tcPr>
            <w:tcW w:type="dxa" w:w="4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Founding Stake (one-time)</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$2</w:t>
            </w:r>
          </w:p>
        </w:tc>
      </w:tr>
      <w:tr>
        <w:tc>
          <w:tcPr>
            <w:tcW w:type="dxa" w:w="4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TOTAL ANNUAL</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$33,584</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$17,355</w:t>
            </w:r>
          </w:p>
        </w:tc>
      </w:tr>
      <w:tr>
        <w:tc>
          <w:tcPr>
            <w:tcW w:type="dxa" w:w="4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As % of $75K income</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44.8%</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23.1%</w:t>
            </w:r>
          </w:p>
        </w:tc>
      </w:tr>
      <w:tr>
        <w:tc>
          <w:tcPr>
            <w:tcW w:type="dxa" w:w="4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1"/>
                <w:szCs w:val="21"/>
              </w:rPr>
              <w:t xml:space="preserve">NET ANNUAL CHANGE</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 xml:space="preserve"/>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1"/>
                <w:szCs w:val="21"/>
              </w:rPr>
              <w:t>−$16,229</w:t>
            </w:r>
          </w:p>
        </w:tc>
      </w:tr>
    </w:tbl>
    <w:p>
      <w:pPr>
        <w:spacing w:after="3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Federal/state revenue increases by approximately $3,600 per year for this household. Total household costs decrease by approximately $12,700 per year. The platform redirects $12,700 in private payments into $3,600 in public contributions — households save the difference.</w:t>
            </w:r>
          </w:p>
        </w:tc>
      </w:tr>
    </w:tbl>
    <w:p>
      <w:r>
        <w:br w:type="page"/>
      </w:r>
    </w:p>
    <w:p>
      <w:pPr>
        <w:pStyle w:val="Heading1"/>
        <w:spacing w:after="240" w:before="480"/>
      </w:pPr>
      <w:r>
        <w:rPr>
          <w:rFonts w:ascii="Arial" w:cs="Arial" w:eastAsia="Arial" w:hAnsi="Arial"/>
          <w:b/>
          <w:bCs/>
          <w:color w:val="1F4E78"/>
          <w:sz w:val="36"/>
          <w:szCs w:val="36"/>
        </w:rPr>
        <w:t xml:space="preserve">How This Varies by Income Level</w:t>
      </w:r>
    </w:p>
    <w:p>
      <w:pPr>
        <w:spacing w:after="240" w:line="340"/>
        <w:jc w:val="both"/>
      </w:pPr>
      <w:r>
        <w:rPr>
          <w:rFonts w:ascii="Georgia" w:cs="Georgia" w:eastAsia="Georgia" w:hAnsi="Georgia"/>
          <w:color w:val="1A1A1A"/>
          <w:sz w:val="24"/>
          <w:szCs w:val="24"/>
        </w:rPr>
        <w:t xml:space="preserve">The pattern above is for a median household. The platform produces different effects at different income levels. Understanding the variation matters because it shapes which households benefit most and which households face the biggest changes.</w:t>
      </w:r>
    </w:p>
    <w:p>
      <w:pPr>
        <w:pStyle w:val="Heading3"/>
        <w:spacing w:after="120" w:before="240"/>
      </w:pPr>
      <w:r>
        <w:rPr>
          <w:rFonts w:ascii="Arial" w:cs="Arial" w:eastAsia="Arial" w:hAnsi="Arial"/>
          <w:b/>
          <w:bCs/>
          <w:color w:val="C00000"/>
          <w:sz w:val="22"/>
          <w:szCs w:val="22"/>
        </w:rPr>
        <w:t xml:space="preserve">Lower-Income Households (under $50K)</w:t>
      </w:r>
    </w:p>
    <w:p>
      <w:pPr>
        <w:spacing w:after="200" w:line="320"/>
        <w:jc w:val="both"/>
      </w:pPr>
      <w:r>
        <w:rPr>
          <w:rFonts w:ascii="Georgia" w:cs="Georgia" w:eastAsia="Georgia" w:hAnsi="Georgia"/>
          <w:color w:val="1A1A1A"/>
          <w:sz w:val="22"/>
          <w:szCs w:val="22"/>
        </w:rPr>
        <w:t>Lower-income households see the largest proportional benefit. Healthcare contributions (2% employee + 4% employer = 6% combined) are smaller in absolute dollars than current health insurance premiums (including both employee and employer shares) for the same coverage. Childcare contributions are far smaller than current childcare costs. Mental health access becomes available at no cost where it was previously unaffordable. The platform substantially expands what these households can afford while only modestly increasing what they pay through federal contributions.</w:t>
      </w:r>
    </w:p>
    <w:p>
      <w:pPr>
        <w:pStyle w:val="Heading3"/>
        <w:spacing w:after="120" w:before="240"/>
      </w:pPr>
      <w:r>
        <w:rPr>
          <w:rFonts w:ascii="Arial" w:cs="Arial" w:eastAsia="Arial" w:hAnsi="Arial"/>
          <w:b/>
          <w:bCs/>
          <w:color w:val="C00000"/>
          <w:sz w:val="22"/>
          <w:szCs w:val="22"/>
        </w:rPr>
        <w:t xml:space="preserve">Middle-Income Households ($50K-$150K)</w:t>
      </w:r>
    </w:p>
    <w:p>
      <w:pPr>
        <w:spacing w:after="200" w:line="320"/>
        <w:jc w:val="both"/>
      </w:pPr>
      <w:r>
        <w:rPr>
          <w:rFonts w:ascii="Georgia" w:cs="Georgia" w:eastAsia="Georgia" w:hAnsi="Georgia"/>
          <w:color w:val="1A1A1A"/>
          <w:sz w:val="22"/>
          <w:szCs w:val="22"/>
        </w:rPr>
        <w:t xml:space="preserve">Middle-income households see substantial savings, especially those with children in childcare or with significant medical expenses. The percentage savings vary based on family composition — households with multiple children in care save the most because childcare cost reductions are particularly large. Households without children in care still save through healthcare cost reductions. The pattern across this income range is consistently positive on net household finances.</w:t>
      </w:r>
    </w:p>
    <w:p>
      <w:pPr>
        <w:pStyle w:val="Heading3"/>
        <w:spacing w:after="120" w:before="240"/>
      </w:pPr>
      <w:r>
        <w:rPr>
          <w:rFonts w:ascii="Arial" w:cs="Arial" w:eastAsia="Arial" w:hAnsi="Arial"/>
          <w:b/>
          <w:bCs/>
          <w:color w:val="C00000"/>
          <w:sz w:val="22"/>
          <w:szCs w:val="22"/>
        </w:rPr>
        <w:t xml:space="preserve">Upper-Income Households ($150K-$250K)</w:t>
      </w:r>
    </w:p>
    <w:p>
      <w:pPr>
        <w:spacing w:after="200" w:line="320"/>
        <w:jc w:val="both"/>
      </w:pPr>
      <w:r>
        <w:rPr>
          <w:rFonts w:ascii="Georgia" w:cs="Georgia" w:eastAsia="Georgia" w:hAnsi="Georgia"/>
          <w:color w:val="1A1A1A"/>
          <w:sz w:val="22"/>
          <w:szCs w:val="22"/>
        </w:rPr>
        <w:t>Upper-income households see modest savings or break roughly even depending on their specific circumstances. Healthcare contributions at 6% combined (2% employee + 4% employer) on higher salaries produce larger absolute dollar amounts that more closely match what these households currently pay in premiums. The childcare savings remain substantial for families with young children. Households without children may see roughly neutral effects — they pay similar amounts but receive better security and broader coverage.</w:t>
      </w:r>
    </w:p>
    <w:p>
      <w:pPr>
        <w:pStyle w:val="Heading3"/>
        <w:spacing w:after="120" w:before="240"/>
      </w:pPr>
      <w:r>
        <w:rPr>
          <w:rFonts w:ascii="Arial" w:cs="Arial" w:eastAsia="Arial" w:hAnsi="Arial"/>
          <w:b/>
          <w:bCs/>
          <w:color w:val="C00000"/>
          <w:sz w:val="22"/>
          <w:szCs w:val="22"/>
        </w:rPr>
        <w:t xml:space="preserve">High-Income Households ($250K+)</w:t>
      </w:r>
    </w:p>
    <w:p>
      <w:pPr>
        <w:spacing w:after="200" w:line="320"/>
        <w:jc w:val="both"/>
      </w:pPr>
      <w:r>
        <w:rPr>
          <w:rFonts w:ascii="Georgia" w:cs="Georgia" w:eastAsia="Georgia" w:hAnsi="Georgia"/>
          <w:color w:val="1A1A1A"/>
          <w:sz w:val="22"/>
          <w:szCs w:val="22"/>
        </w:rPr>
        <w:t>High-income households face the canonical graduated income surcharge of 5% above $250,000, 10% above $500,000, and 15% above $1 million (single filer thresholds; doubled for married filing jointly per the Wage Floors As Tax Architecture document), which produces additional contributions. The graduated income surcharge alone produces zero dollars at exactly $250K (single filer threshold), $2,500 at $300K (5% of $50K above threshold), $7,500 at $400K (5% of $150K above threshold), $12,500 at $500K (top of the 5% bracket), $32,500 at $700K (5% of $250K plus 10% of $200K), and $62,500 at $1M (top of the 10% bracket). MFJ filers pay surcharge starting at $500K with thresholds doubled. This is the trade-off that funds universal access for lower-income households. The platform is honest about this rather than pretending it doesn't exist.</w:t>
      </w:r>
    </w:p>
    <w:p>
      <w:pPr>
        <w:spacing w:after="200" w:line="320"/>
        <w:jc w:val="both"/>
      </w:pPr>
      <w:r>
        <w:rPr>
          <w:rFonts w:ascii="Georgia" w:cs="Georgia" w:eastAsia="Georgia" w:hAnsi="Georgia"/>
          <w:color w:val="1A1A1A"/>
          <w:sz w:val="22"/>
          <w:szCs w:val="22"/>
        </w:rPr>
        <w:t>The platform's high-earner architecture is three distinct mechanisms, not three formulations of one. The graduated income surcharge described above (5/10/15%) is one mechanism — additional marginal income tax brackets stacked above the existing 37% top federal bracket. The second mechanism is a small wealth surcharge above the $10 million threshold — a level pegged to roughly the top one percent of households by net worth (Federal Reserve Survey of Consumer Finances) rather than a fixed figure, and re-anchored as that distribution shifts — with a 0.5% rate set at the conservative end of existing national wealth taxes, as substantiated in Wage Floors as Tax Architecture and documented in the Federal Fiscal Impact Analysis. The third mechanism is the wealth tax targeted at households with net worth above $50 million (rate 0.6% annually, recalibrated from the original 2-3% band by the v3.7.577 real-data analysis), which funds the Sovereign Investment Fund's initial corpus accumulation; this is documented in the Coalition Walkthrough and Per Citizen Benefits and Costs documents. Together these three mechanisms generate approximately [[FIG:FIG-progressive-mechanisms-revenue-gross]] per year in new federal revenue at mature steady state (refined from $200 billion estimate per item 81 v2.30 substantiation, which provides the explicit three-component breakdown: ~$130B income tax architecture at median behavioral elasticity, ~$35B small wealth surcharge above $10M, ~$60B wealth tax above $50M). Earlier versions of this document used a simplified '2% above $200K' formulation that did not match the canonical structure; v2.26.3 corrected the discrepancy per OPEN-2 resolution.</w:t>
      </w:r>
    </w:p>
    <w:p>
      <w:pPr>
        <w:pStyle w:val="Heading3"/>
        <w:spacing w:after="120" w:before="240"/>
      </w:pPr>
      <w:r>
        <w:rPr>
          <w:rFonts w:ascii="Arial" w:cs="Arial" w:eastAsia="Arial" w:hAnsi="Arial"/>
          <w:b/>
          <w:bCs/>
          <w:color w:val="C00000"/>
          <w:sz w:val="22"/>
          <w:szCs w:val="22"/>
        </w:rPr>
        <w:t xml:space="preserve">Very High-Income Households ($1M+)</w:t>
      </w:r>
    </w:p>
    <w:p>
      <w:pPr>
        <w:spacing w:after="200" w:line="320"/>
        <w:jc w:val="both"/>
      </w:pPr>
      <w:r>
        <w:rPr>
          <w:rFonts w:ascii="Georgia" w:cs="Georgia" w:eastAsia="Georgia" w:hAnsi="Georgia"/>
          <w:color w:val="1A1A1A"/>
          <w:sz w:val="22"/>
          <w:szCs w:val="22"/>
        </w:rPr>
        <w:t>Very high-income households face the largest increase, primarily through the graduated income surcharge. The dollar amounts are substantial — tens of thousands of dollars per year for households earning seven figures. This is intentional. The platform's principle is that the country's wealth should produce shared prosperity rather than concentrated prosperity, and the funding mechanisms reflect that principle. Very high-income households pay more so that lower-income households can pay less and receive more.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platform's funding mechanism is mildly progressive. It does not redistribute wealth dramatically. It does redistribute the cost of universal infrastructure away from low-income households and toward high-income households, while reducing the total cost for almost everyone.”</w:t>
            </w:r>
          </w:p>
        </w:tc>
      </w:tr>
    </w:tbl>
    <w:p>
      <w:r>
        <w:br w:type="page"/>
      </w:r>
    </w:p>
    <w:p>
      <w:pPr>
        <w:pStyle w:val="Heading1"/>
        <w:spacing w:after="240" w:before="480"/>
      </w:pPr>
      <w:r>
        <w:rPr>
          <w:rFonts w:ascii="Arial" w:cs="Arial" w:eastAsia="Arial" w:hAnsi="Arial"/>
          <w:b/>
          <w:bCs/>
          <w:color w:val="1F4E78"/>
          <w:sz w:val="36"/>
          <w:szCs w:val="36"/>
        </w:rPr>
        <w:t>Worked Example: A Professional Household at $125,000 MFJ</w:t>
      </w:r>
    </w:p>
    <w:p>
      <w:pPr>
        <w:spacing w:after="240" w:line="340"/>
        <w:jc w:val="both"/>
      </w:pPr>
      <w:r>
        <w:rPr>
          <w:rFonts w:ascii="Georgia" w:cs="Georgia" w:eastAsia="Georgia" w:hAnsi="Georgia"/>
          <w:color w:val="1A1A1A"/>
          <w:sz w:val="24"/>
          <w:szCs w:val="24"/>
        </w:rPr>
        <w:t>The median household example above ($75,000 MFJ with one child needing childcare) is the platform's anchor case. Many readers, especially professional households, are at higher incomes with different family compositions. This second worked example walks through the math for a representative $125,000 MFJ household with two children in childcare. The pattern of platform impact is similar to the median case but with larger absolute dollar amounts in both the absorbed-cost and added-contribution columns. The example represents mature steady-state outcomes (approximately Year 30 of platform deployment); transition-year outcomes for the same household would show smaller savings as the platform's commitments phase in.</w:t>
      </w:r>
    </w:p>
    <w:p>
      <w:pPr>
        <w:pStyle w:val="Heading2"/>
        <w:spacing w:after="160" w:before="360"/>
      </w:pPr>
      <w:r>
        <w:rPr>
          <w:rFonts w:ascii="Arial" w:cs="Arial" w:eastAsia="Arial" w:hAnsi="Arial"/>
          <w:b/>
          <w:bCs/>
          <w:color w:val="1F4E78"/>
          <w:sz w:val="28"/>
          <w:szCs w:val="28"/>
        </w:rPr>
        <w:t>Current System (Professional Household at $125,000)</w:t>
      </w:r>
    </w:p>
    <w:p>
      <w:pPr>
        <w:spacing w:after="240" w:line="340"/>
        <w:jc w:val="both"/>
      </w:pPr>
      <w:r>
        <w:rPr>
          <w:rFonts w:ascii="Georgia" w:cs="Georgia" w:eastAsia="Georgia" w:hAnsi="Georgia"/>
          <w:color w:val="1A1A1A"/>
          <w:sz w:val="24"/>
          <w:szCs w:val="24"/>
        </w:rPr>
        <w:t>Federal income tax of approximately $11,200 (married filing jointly at $125,000 with the standard deduction of $29,200 leaves approximately $95,800 in taxable income; the 10% bracket on the first $23,200 contributes $2,320, the 12% bracket on the next $71,100 contributes $8,532, and the 22% bracket on the remaining $1,500 contributes $330). State income tax averaging approximately $6,250 (representative 5% effective state income tax). FICA payroll tax (employee side, 7.65%) of approximately $9,563. Healthcare premiums (employee share of typical family plan) of approximately $6,000 per year. Out-of-pocket medical expenses averaging approximately $3,000 per year. Childcare costs of approximately $22,000 per year for two children (varies substantially by region; this is a national average for two children in licensed care). Broadband internet of approximately $720 per year. Tax preparation costs of approximately $300 per year. Total current burden: approximately $59,033 per year, or about 47% of household income.</w:t>
      </w:r>
    </w:p>
    <w:p>
      <w:pPr>
        <w:pStyle w:val="Heading2"/>
        <w:spacing w:after="160" w:before="360"/>
      </w:pPr>
      <w:r>
        <w:rPr>
          <w:rFonts w:ascii="Arial" w:cs="Arial" w:eastAsia="Arial" w:hAnsi="Arial"/>
          <w:b/>
          <w:bCs/>
          <w:color w:val="1F4E78"/>
          <w:sz w:val="28"/>
          <w:szCs w:val="28"/>
        </w:rPr>
        <w:t>Under the Platform (Professional Household at $125,000)</w:t>
      </w:r>
    </w:p>
    <w:p>
      <w:pPr>
        <w:spacing w:after="240" w:line="340"/>
        <w:jc w:val="both"/>
      </w:pPr>
      <w:r>
        <w:rPr>
          <w:rFonts w:ascii="Georgia" w:cs="Georgia" w:eastAsia="Georgia" w:hAnsi="Georgia"/>
          <w:color w:val="1A1A1A"/>
          <w:sz w:val="24"/>
          <w:szCs w:val="24"/>
        </w:rPr>
        <w:t>Federal income tax of approximately $1,500 (the wage floor exemption replaces the standard deduction; for representative two-earner professional occupations the combined wage floor exemption is approximately $110,000 — see derivation note below — leaving $15,000 of taxable income, which falls entirely within the 10% bracket and produces $1,500 in federal income tax). State income tax remains approximately $6,250 (state tax is not addressed by the platform). FICA payroll tax continues during the transition years at approximately $9,563. Healthcare contribution under the platform's 4% employer / 2% employee architecture (6% combined): the household sees approximately $2,500 per year (2% employee share) on their paystub; the firm pays approximately $5,000 per year (4% employer share) on the worker's behalf; the combined economic burden is approximately $7,500 per year (6% of $125,000). Childcare contribution under the platform's 0.8% employer / 0.5% employee architecture (1.3% combined): the household sees approximately $625 per year (0.5% employee share) on their paystub; the firm pays approximately $1,000 per year (0.8% employer share) on the worker's behalf; the combined economic burden is approximately $1,625 per year (1.3% of $125,000). Mental health contribution under the 0.5% employer / 0.3% employee architecture (0.8% combined): the household sees approximately $375 per year (0.3% employee share) on their paystub; the firm pays approximately $625 per year (0.5% employer share) on the worker's behalf; the combined economic burden is approximately $1,000 per year (0.8% of $125,000). Broadband becomes universal: $0. Tax preparation cost becomes $0 with Direct File support for the wage floor architecture. Total platform burden: approximately $20,938 per year, or about 17% of household income.</w:t>
      </w:r>
    </w:p>
    <w:p>
      <w:pPr>
        <w:pStyle w:val="Heading2"/>
        <w:spacing w:after="160" w:before="360"/>
      </w:pPr>
      <w:r>
        <w:rPr>
          <w:rFonts w:ascii="Arial" w:cs="Arial" w:eastAsia="Arial" w:hAnsi="Arial"/>
          <w:b/>
          <w:bCs/>
          <w:color w:val="1F4E78"/>
          <w:sz w:val="28"/>
          <w:szCs w:val="28"/>
        </w:rPr>
        <w:t>The Difference (Professional Household at $125,000)</w:t>
      </w:r>
    </w:p>
    <w:p>
      <w:pPr>
        <w:spacing w:after="240" w:line="340"/>
        <w:jc w:val="both"/>
      </w:pPr>
      <w:r>
        <w:rPr>
          <w:rFonts w:ascii="Georgia" w:cs="Georgia" w:eastAsia="Georgia" w:hAnsi="Georgia"/>
          <w:color w:val="1A1A1A"/>
          <w:sz w:val="24"/>
          <w:szCs w:val="24"/>
        </w:rPr>
        <w:t>This household sees approximately $38,095 per year in savings under the platform, or roughly 30% of household income. The savings are larger than the $17,179 median savings figure for two reasons. First, this household has two children in childcare (versus one in the median example), which doubles the absorbed childcare cost. Second, this household has higher labor income, which produces larger absolute savings on healthcare premium absorption and a larger reduction in federal income tax through the wage floor exemption.</w:t>
      </w:r>
    </w:p>
    <w:p>
      <w:pPr>
        <w:spacing w:after="240" w:line="340"/>
        <w:jc w:val="both"/>
      </w:pPr>
      <w:r>
        <w:rPr>
          <w:rFonts w:ascii="Georgia" w:cs="Georgia" w:eastAsia="Georgia" w:hAnsi="Georgia"/>
          <w:color w:val="1A1A1A"/>
          <w:sz w:val="24"/>
          <w:szCs w:val="24"/>
        </w:rPr>
        <w:t>The pattern matches the broader claim from What This Means For You that middle-class households (those earning $75,000-$150,000) save 40 to 79 percent of their current federal-channel cost. This particular household saves approximately 48 percent. [REBUILT v3.8.402: from 65 percent, recomputed on the rebuilt figures -- $31,565 of federal-channel cost now against $16,347 under the platform.] A household at the same income with no children needing childcare would see proportionally smaller savings (still substantial, but the childcare absorption is the largest single component of the savings for households with young children). A household at the same income with three or four children in childcare would see even larger savings.</w:t>
      </w:r>
    </w:p>
    <w:p>
      <w:pPr>
        <w:spacing w:after="240" w:line="340"/>
        <w:jc w:val="both"/>
      </w:pPr>
      <w:r>
        <w:rPr>
          <w:rFonts w:ascii="Georgia" w:cs="Georgia" w:eastAsia="Georgia" w:hAnsi="Georgia"/>
          <w:color w:val="1A1A1A"/>
          <w:sz w:val="24"/>
          <w:szCs w:val="24"/>
        </w:rPr>
        <w:t>The mathematics are sensitive to specific household circumstances, particularly the household's current healthcare arrangement, current childcare expenses, and occupational composition (which determines the wage floor exemption). Households wanting to model their specific situation should use the We The People Calculator.</w:t>
      </w:r>
    </w:p>
    <w:p>
      <w:pPr>
        <w:spacing w:before="600"/>
        <w:jc w:val="center"/>
      </w:pPr>
      <w:r>
        <w:rPr>
          <w:rFonts w:ascii="Arial" w:cs="Arial" w:eastAsia="Arial" w:hAnsi="Arial"/>
          <w:i/>
          <w:iCs/>
          <w:color w:val="595959"/>
          <w:sz w:val="16"/>
          <w:szCs w:val="16"/>
        </w:rPr>
        <w:t>Wage floor derivation note: the $110,000 combined wage floor exemption assumes both earners are in mid-career professional occupations. The We The People Calculator defines occupation tiers with floors at approximately $28,000 (service / care / retail), $42,000 (skilled trades / clerical), $55,000 (mid-career professional), and $80,000 (senior professional / specialized). Two mid-career professionals at $55,000 each produce a combined exemption of $110,000. Households with different occupation mixes will have different combined exemptions: a single senior professional plus a service worker would produce $108,000; two senior professionals would produce $160,000; one mid-career plus one service worker would produce $83,000. Households can use the calculator to model their specific occupation mix.</w:t>
      </w:r>
    </w:p>
    <w:p>
      <w:pPr>
        <w:pStyle w:val="Heading1"/>
        <w:spacing w:after="240" w:before="480"/>
      </w:pPr>
      <w:r>
        <w:rPr>
          <w:rFonts w:ascii="Arial" w:cs="Arial" w:eastAsia="Arial" w:hAnsi="Arial"/>
          <w:b/>
          <w:bCs/>
          <w:color w:val="1F4E78"/>
          <w:sz w:val="36"/>
          <w:szCs w:val="36"/>
        </w:rPr>
        <w:t xml:space="preserve">Pros: What the Platform Delivers</w:t>
      </w:r>
    </w:p>
    <w:p>
      <w:pPr>
        <w:spacing w:after="240" w:line="340"/>
        <w:jc w:val="both"/>
      </w:pPr>
      <w:r>
        <w:rPr>
          <w:rFonts w:ascii="Georgia" w:cs="Georgia" w:eastAsia="Georgia" w:hAnsi="Georgia"/>
          <w:color w:val="1A1A1A"/>
          <w:sz w:val="24"/>
          <w:szCs w:val="24"/>
        </w:rPr>
        <w:t xml:space="preserve">The case for the platform's tax structure rests on what households actually receive in exchange for what they pay.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Lower Total Household Costs</w:t>
            </w:r>
          </w:p>
          <w:p>
            <w:pPr>
              <w:spacing w:after="100" w:line="280"/>
            </w:pPr>
            <w:r>
              <w:rPr>
                <w:rFonts w:ascii="Georgia" w:cs="Georgia" w:eastAsia="Georgia" w:hAnsi="Georgia"/>
                <w:color w:val="1A1A1A"/>
                <w:sz w:val="21"/>
                <w:szCs w:val="21"/>
              </w:rPr>
              <w:t>•  Median household saves approximately $12,700 per year, or 15% of income.</w:t>
            </w:r>
          </w:p>
          <w:p>
            <w:pPr>
              <w:spacing w:after="100" w:line="280"/>
            </w:pPr>
            <w:r>
              <w:rPr>
                <w:rFonts w:ascii="Georgia" w:cs="Georgia" w:eastAsia="Georgia" w:hAnsi="Georgia"/>
                <w:color w:val="1A1A1A"/>
                <w:sz w:val="21"/>
                <w:szCs w:val="21"/>
              </w:rPr>
              <w:t xml:space="preserve">•  Lower-income households see proportionally larger benefits.</w:t>
            </w:r>
          </w:p>
          <w:p>
            <w:pPr>
              <w:spacing w:after="100" w:line="280"/>
            </w:pPr>
            <w:r>
              <w:rPr>
                <w:rFonts w:ascii="Georgia" w:cs="Georgia" w:eastAsia="Georgia" w:hAnsi="Georgia"/>
                <w:color w:val="1A1A1A"/>
                <w:sz w:val="21"/>
                <w:szCs w:val="21"/>
              </w:rPr>
              <w:t xml:space="preserve">•  Households with young children save the most due to childcare reductions.</w:t>
            </w:r>
          </w:p>
          <w:p>
            <w:pPr>
              <w:spacing w:after="100" w:line="280"/>
            </w:pPr>
            <w:r>
              <w:rPr>
                <w:rFonts w:ascii="Georgia" w:cs="Georgia" w:eastAsia="Georgia" w:hAnsi="Georgia"/>
                <w:color w:val="1A1A1A"/>
                <w:sz w:val="21"/>
                <w:szCs w:val="21"/>
              </w:rPr>
              <w:t xml:space="preserve">•  Cumulative savings over a decade exceed $100,000 for the median household.</w:t>
            </w:r>
          </w:p>
          <w:p>
            <w:pPr>
              <w:spacing w:after="100" w:line="280"/>
            </w:pPr>
            <w:r>
              <w:rPr>
                <w:rFonts w:ascii="Georgia" w:cs="Georgia" w:eastAsia="Georgia" w:hAnsi="Georgia"/>
                <w:color w:val="1A1A1A"/>
                <w:sz w:val="21"/>
                <w:szCs w:val="21"/>
              </w:rPr>
              <w:t xml:space="preserve">•  Effective relief from the largest non-housing expenses American families face.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Predictable, Transparent Costs</w:t>
            </w:r>
          </w:p>
          <w:p>
            <w:pPr>
              <w:spacing w:after="100" w:line="280"/>
            </w:pPr>
            <w:r>
              <w:rPr>
                <w:rFonts w:ascii="Georgia" w:cs="Georgia" w:eastAsia="Georgia" w:hAnsi="Georgia"/>
                <w:color w:val="1A1A1A"/>
                <w:sz w:val="21"/>
                <w:szCs w:val="21"/>
              </w:rPr>
              <w:t xml:space="preserve">•  Healthcare costs become a known percentage of income rather than a private market variable.</w:t>
            </w:r>
          </w:p>
          <w:p>
            <w:pPr>
              <w:spacing w:after="100" w:line="280"/>
            </w:pPr>
            <w:r>
              <w:rPr>
                <w:rFonts w:ascii="Georgia" w:cs="Georgia" w:eastAsia="Georgia" w:hAnsi="Georgia"/>
                <w:color w:val="1A1A1A"/>
                <w:sz w:val="21"/>
                <w:szCs w:val="21"/>
              </w:rPr>
              <w:t xml:space="preserve">•  Childcare costs are capped at a known maximum rather than scaling with metropolitan rents.</w:t>
            </w:r>
          </w:p>
          <w:p>
            <w:pPr>
              <w:spacing w:after="100" w:line="280"/>
            </w:pPr>
            <w:r>
              <w:rPr>
                <w:rFonts w:ascii="Georgia" w:cs="Georgia" w:eastAsia="Georgia" w:hAnsi="Georgia"/>
                <w:color w:val="1A1A1A"/>
                <w:sz w:val="21"/>
                <w:szCs w:val="21"/>
              </w:rPr>
              <w:t xml:space="preserve">•  No more surprise medical bills consuming household savings.</w:t>
            </w:r>
          </w:p>
          <w:p>
            <w:pPr>
              <w:spacing w:after="100" w:line="280"/>
            </w:pPr>
            <w:r>
              <w:rPr>
                <w:rFonts w:ascii="Georgia" w:cs="Georgia" w:eastAsia="Georgia" w:hAnsi="Georgia"/>
                <w:color w:val="1A1A1A"/>
                <w:sz w:val="21"/>
                <w:szCs w:val="21"/>
              </w:rPr>
              <w:t xml:space="preserve">•  No more childcare arrangements collapsing because providers raised prices.</w:t>
            </w:r>
          </w:p>
          <w:p>
            <w:pPr>
              <w:spacing w:after="100" w:line="280"/>
            </w:pPr>
            <w:r>
              <w:rPr>
                <w:rFonts w:ascii="Georgia" w:cs="Georgia" w:eastAsia="Georgia" w:hAnsi="Georgia"/>
                <w:color w:val="1A1A1A"/>
                <w:sz w:val="21"/>
                <w:szCs w:val="21"/>
              </w:rPr>
              <w:t xml:space="preserve">•  Households can plan their finances around stable contributions rather than volatile private costs.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Removed Catastrophic Risk</w:t>
            </w:r>
          </w:p>
          <w:p>
            <w:pPr>
              <w:spacing w:after="100" w:line="280"/>
            </w:pPr>
            <w:r>
              <w:rPr>
                <w:rFonts w:ascii="Georgia" w:cs="Georgia" w:eastAsia="Georgia" w:hAnsi="Georgia"/>
                <w:color w:val="1A1A1A"/>
                <w:sz w:val="21"/>
                <w:szCs w:val="21"/>
              </w:rPr>
              <w:t xml:space="preserve">•  Medical bankruptcy as a category of personal financial disaster is eliminated.</w:t>
            </w:r>
          </w:p>
          <w:p>
            <w:pPr>
              <w:spacing w:after="100" w:line="280"/>
            </w:pPr>
            <w:r>
              <w:rPr>
                <w:rFonts w:ascii="Georgia" w:cs="Georgia" w:eastAsia="Georgia" w:hAnsi="Georgia"/>
                <w:color w:val="1A1A1A"/>
                <w:sz w:val="21"/>
                <w:szCs w:val="21"/>
              </w:rPr>
              <w:t xml:space="preserve">•  Workforce displacement no longer compounds into healthcare loss.</w:t>
            </w:r>
          </w:p>
          <w:p>
            <w:pPr>
              <w:spacing w:after="100" w:line="280"/>
            </w:pPr>
            <w:r>
              <w:rPr>
                <w:rFonts w:ascii="Georgia" w:cs="Georgia" w:eastAsia="Georgia" w:hAnsi="Georgia"/>
                <w:color w:val="1A1A1A"/>
                <w:sz w:val="21"/>
                <w:szCs w:val="21"/>
              </w:rPr>
              <w:t xml:space="preserve">•  Job changes do not require navigating new insurance networks.</w:t>
            </w:r>
          </w:p>
          <w:p>
            <w:pPr>
              <w:spacing w:after="100" w:line="280"/>
            </w:pPr>
            <w:r>
              <w:rPr>
                <w:rFonts w:ascii="Georgia" w:cs="Georgia" w:eastAsia="Georgia" w:hAnsi="Georgia"/>
                <w:color w:val="1A1A1A"/>
                <w:sz w:val="21"/>
                <w:szCs w:val="21"/>
              </w:rPr>
              <w:t xml:space="preserve">•  Childcare loss no longer forces parents out of the workforce.</w:t>
            </w:r>
          </w:p>
          <w:p>
            <w:pPr>
              <w:spacing w:after="100" w:line="280"/>
            </w:pPr>
            <w:r>
              <w:rPr>
                <w:rFonts w:ascii="Georgia" w:cs="Georgia" w:eastAsia="Georgia" w:hAnsi="Georgia"/>
                <w:color w:val="1A1A1A"/>
                <w:sz w:val="21"/>
                <w:szCs w:val="21"/>
              </w:rPr>
              <w:t xml:space="preserve">•  Retirement security no longer depends on continuous employment with adequate benefits.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Universal Coverage and Access</w:t>
            </w:r>
          </w:p>
          <w:p>
            <w:pPr>
              <w:spacing w:after="100" w:line="280"/>
            </w:pPr>
            <w:r>
              <w:rPr>
                <w:rFonts w:ascii="Georgia" w:cs="Georgia" w:eastAsia="Georgia" w:hAnsi="Georgia"/>
                <w:color w:val="1A1A1A"/>
                <w:sz w:val="21"/>
                <w:szCs w:val="21"/>
              </w:rPr>
              <w:t xml:space="preserve">•  Healthcare available to every American without regard to employment status.</w:t>
            </w:r>
          </w:p>
          <w:p>
            <w:pPr>
              <w:spacing w:after="100" w:line="280"/>
            </w:pPr>
            <w:r>
              <w:rPr>
                <w:rFonts w:ascii="Georgia" w:cs="Georgia" w:eastAsia="Georgia" w:hAnsi="Georgia"/>
                <w:color w:val="1A1A1A"/>
                <w:sz w:val="21"/>
                <w:szCs w:val="21"/>
              </w:rPr>
              <w:t xml:space="preserve">•  Childcare available to every working family without prohibitive cost.</w:t>
            </w:r>
          </w:p>
          <w:p>
            <w:pPr>
              <w:spacing w:after="100" w:line="280"/>
            </w:pPr>
            <w:r>
              <w:rPr>
                <w:rFonts w:ascii="Georgia" w:cs="Georgia" w:eastAsia="Georgia" w:hAnsi="Georgia"/>
                <w:color w:val="1A1A1A"/>
                <w:sz w:val="21"/>
                <w:szCs w:val="21"/>
              </w:rPr>
              <w:t xml:space="preserve">•  Mental health care available to every adult who chooses to access it.</w:t>
            </w:r>
          </w:p>
          <w:p>
            <w:pPr>
              <w:spacing w:after="100" w:line="280"/>
            </w:pPr>
            <w:r>
              <w:rPr>
                <w:rFonts w:ascii="Georgia" w:cs="Georgia" w:eastAsia="Georgia" w:hAnsi="Georgia"/>
                <w:color w:val="1A1A1A"/>
                <w:sz w:val="21"/>
                <w:szCs w:val="21"/>
              </w:rPr>
              <w:t xml:space="preserve">•  Education funded for every American who chooses to pursue it through age 30.</w:t>
            </w:r>
          </w:p>
          <w:p>
            <w:pPr>
              <w:spacing w:after="100" w:line="280"/>
            </w:pPr>
            <w:r>
              <w:rPr>
                <w:rFonts w:ascii="Georgia" w:cs="Georgia" w:eastAsia="Georgia" w:hAnsi="Georgia"/>
                <w:color w:val="1A1A1A"/>
                <w:sz w:val="21"/>
                <w:szCs w:val="21"/>
              </w:rPr>
              <w:t xml:space="preserve">•  Retirement security guaranteed across career disruption and economic disruption.</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Economic Stability Benefits</w:t>
            </w:r>
          </w:p>
          <w:p>
            <w:pPr>
              <w:spacing w:after="100" w:line="280"/>
            </w:pPr>
            <w:r>
              <w:rPr>
                <w:rFonts w:ascii="Georgia" w:cs="Georgia" w:eastAsia="Georgia" w:hAnsi="Georgia"/>
                <w:color w:val="1A1A1A"/>
                <w:sz w:val="21"/>
                <w:szCs w:val="21"/>
              </w:rPr>
              <w:t xml:space="preserve">•  Workforce mobility increases as workers can change jobs without losing benefits.</w:t>
            </w:r>
          </w:p>
          <w:p>
            <w:pPr>
              <w:spacing w:after="100" w:line="280"/>
            </w:pPr>
            <w:r>
              <w:rPr>
                <w:rFonts w:ascii="Georgia" w:cs="Georgia" w:eastAsia="Georgia" w:hAnsi="Georgia"/>
                <w:color w:val="1A1A1A"/>
                <w:sz w:val="21"/>
                <w:szCs w:val="21"/>
              </w:rPr>
              <w:t xml:space="preserve">•  Entrepreneurship increases as starting a business doesn't require giving up healthcare.</w:t>
            </w:r>
          </w:p>
          <w:p>
            <w:pPr>
              <w:spacing w:after="100" w:line="280"/>
            </w:pPr>
            <w:r>
              <w:rPr>
                <w:rFonts w:ascii="Georgia" w:cs="Georgia" w:eastAsia="Georgia" w:hAnsi="Georgia"/>
                <w:color w:val="1A1A1A"/>
                <w:sz w:val="21"/>
                <w:szCs w:val="21"/>
              </w:rPr>
              <w:t xml:space="preserve">•  Workforce participation increases as childcare access expands.</w:t>
            </w:r>
          </w:p>
          <w:p>
            <w:pPr>
              <w:spacing w:after="100" w:line="280"/>
            </w:pPr>
            <w:r>
              <w:rPr>
                <w:rFonts w:ascii="Georgia" w:cs="Georgia" w:eastAsia="Georgia" w:hAnsi="Georgia"/>
                <w:color w:val="1A1A1A"/>
                <w:sz w:val="21"/>
                <w:szCs w:val="21"/>
              </w:rPr>
              <w:t xml:space="preserve">•  Retirement insecurity stops depleting consumer demand from older Americans.</w:t>
            </w:r>
          </w:p>
          <w:p>
            <w:pPr>
              <w:spacing w:after="100" w:line="280"/>
            </w:pPr>
            <w:r>
              <w:rPr>
                <w:rFonts w:ascii="Georgia" w:cs="Georgia" w:eastAsia="Georgia" w:hAnsi="Georgia"/>
                <w:color w:val="1A1A1A"/>
                <w:sz w:val="21"/>
                <w:szCs w:val="21"/>
              </w:rPr>
              <w:t xml:space="preserve">•  AI workforce displacement becomes survivable rather than catastrophic.</w:t>
            </w:r>
          </w:p>
        </w:tc>
      </w:tr>
    </w:tbl>
    <w:p>
      <w:r>
        <w:br w:type="page"/>
      </w:r>
    </w:p>
    <w:p>
      <w:pPr>
        <w:pStyle w:val="Heading1"/>
        <w:spacing w:after="240" w:before="480"/>
      </w:pPr>
      <w:r>
        <w:rPr>
          <w:rFonts w:ascii="Arial" w:cs="Arial" w:eastAsia="Arial" w:hAnsi="Arial"/>
          <w:b/>
          <w:bCs/>
          <w:color w:val="1F4E78"/>
          <w:sz w:val="36"/>
          <w:szCs w:val="36"/>
        </w:rPr>
        <w:t>Public Infrastructure Benefits Not Captured Here</w:t>
      </w:r>
    </w:p>
    <w:p>
      <w:pPr>
        <w:spacing w:after="240" w:line="340"/>
        <w:jc w:val="both"/>
      </w:pPr>
      <w:r>
        <w:rPr>
          <w:rFonts w:ascii="Georgia" w:cs="Georgia" w:eastAsia="Georgia" w:hAnsi="Georgia"/>
          <w:color w:val="1A1A1A"/>
          <w:sz w:val="24"/>
          <w:szCs w:val="24"/>
        </w:rPr>
        <w:t>The dollar comparison above accounts for the platform benefits that translate cleanly into per-household cash flow — healthcare premium savings, childcare cost reductions, broadband access, tax preparation savings, identity theft protection. These are not the only benefits the platform delivers. The Civic Infrastructure pillar also commits substantial federal investment to physical and digital systems whose value to citizens is real but does not convert easily to a per-household dollar figure. This section names those benefits explicitly so that readers understand what the dollar comparison does not capture.</w:t>
      </w:r>
    </w:p>
    <w:p>
      <w:pPr>
        <w:spacing w:after="240" w:line="340"/>
        <w:jc w:val="both"/>
      </w:pPr>
      <w:r>
        <w:rPr>
          <w:rFonts w:ascii="Georgia" w:cs="Georgia" w:eastAsia="Georgia" w:hAnsi="Georgia"/>
          <w:color w:val="1A1A1A"/>
          <w:sz w:val="24"/>
          <w:szCs w:val="24"/>
        </w:rPr>
        <w:t>Transportation infrastructure investment of approximately $80-120 billion annually addresses the structural deficiency rate that currently affects roughly twenty percent of American bridges and the chronic underinvestment in transit, freight rail, and active transportation. The benefits to citizens include reduced commute times in modernized corridors, fewer vehicle damage costs from poor road conditions, expanded transit access in communities currently dependent on private vehicles, and reduced exposure to the safety risks that aging transportation infrastructure produces. The dollar value to any specific household varies enormously by geography and travel patterns; the platform commits to the investment but does not estimate per-household savings in the comparison above.</w:t>
      </w:r>
    </w:p>
    <w:p>
      <w:pPr>
        <w:spacing w:after="240" w:line="340"/>
        <w:jc w:val="both"/>
      </w:pPr>
      <w:r>
        <w:rPr>
          <w:rFonts w:ascii="Georgia" w:cs="Georgia" w:eastAsia="Georgia" w:hAnsi="Georgia"/>
          <w:color w:val="1A1A1A"/>
          <w:sz w:val="24"/>
          <w:szCs w:val="24"/>
        </w:rPr>
        <w:t>Water and sewer system investment of approximately $40-60 billion annually addresses the lead service lines remaining in roughly nine million American homes, the combined sewer overflows that produce contamination events in older cities, and the aging water infrastructure that produces boil-water advisories and service disruptions across the country. The benefits to citizens include reduced lead exposure (with documented effects on childhood cognitive development and lifetime earnings), fewer service disruptions, and reduced exposure to water-quality contamination. The lifetime cost of childhood lead exposure to affected households can run into the tens of thousands of dollars; the platform's investment reduces that exposure but the household-level dollar value depends entirely on whether a specific household currently has lead service lines.</w:t>
      </w:r>
    </w:p>
    <w:p>
      <w:pPr>
        <w:spacing w:after="240" w:line="340"/>
        <w:jc w:val="both"/>
      </w:pPr>
      <w:r>
        <w:rPr>
          <w:rFonts w:ascii="Georgia" w:cs="Georgia" w:eastAsia="Georgia" w:hAnsi="Georgia"/>
          <w:color w:val="1A1A1A"/>
          <w:sz w:val="24"/>
          <w:szCs w:val="24"/>
        </w:rPr>
        <w:t>Public spaces investment of approximately $22-32 billion annually addresses the chronic underinvestment in libraries, parks, community centers, and cultural infrastructure. Libraries in particular provide computing, internet access, and learning resources to households that lack alternatives — a benefit that is most concentrated for the lowest-income households and effectively zero for households with full home access to those resources. Parks and community centers provide the spaces where neighborhood life happens; their absence in many communities is a measurable loss but not one that converts to a per-household dollar figure.</w:t>
      </w:r>
    </w:p>
    <w:p>
      <w:pPr>
        <w:spacing w:after="240" w:line="340"/>
        <w:jc w:val="both"/>
      </w:pPr>
      <w:r>
        <w:rPr>
          <w:rFonts w:ascii="Georgia" w:cs="Georgia" w:eastAsia="Georgia" w:hAnsi="Georgia"/>
          <w:color w:val="1A1A1A"/>
          <w:sz w:val="24"/>
          <w:szCs w:val="24"/>
        </w:rPr>
        <w:t>Energy grid modernization of approximately $50-80 billion annually addresses the transmission and distribution infrastructure that currently operates with components averaging forty years old. Grid modernization reduces outage frequency and duration (which translate to spoiled food, lost work time, medical equipment failures for affected households), enables the bidirectional flows that distributed generation requires, and improves resilience against the increasingly common weather events that produce extended grid failures. The dollar value depends on a specific household's exposure to grid problems; for households in regions with frequent outages the value is substantial, for households with reliable service the value is structural rather than directly experienced.</w:t>
      </w:r>
    </w:p>
    <w:p>
      <w:pPr>
        <w:spacing w:after="240" w:line="340"/>
        <w:jc w:val="both"/>
      </w:pPr>
      <w:r>
        <w:rPr>
          <w:rFonts w:ascii="Georgia" w:cs="Georgia" w:eastAsia="Georgia" w:hAnsi="Georgia"/>
          <w:color w:val="1A1A1A"/>
          <w:sz w:val="24"/>
          <w:szCs w:val="24"/>
        </w:rPr>
        <w:t>These four components total approximately $192-292 billion annually at full deployment — comparable in scale to the platform commitments captured in the dollar comparison. Excluding them from the per-household table is not a judgment that they don't matter; it is a judgment that converting them to per-household dollar figures requires assumptions specific enough to specific households that an averaged figure would mislead more than it would inform. The honest accounting is that these benefits are real, are funded under the platform, and produce value not captured by the table above.</w:t>
      </w:r>
    </w:p>
    <w:p>
      <w:pPr>
        <w:pStyle w:val="Heading1"/>
        <w:spacing w:after="240" w:before="480"/>
      </w:pPr>
      <w:r>
        <w:rPr>
          <w:rFonts w:ascii="Arial" w:cs="Arial" w:eastAsia="Arial" w:hAnsi="Arial"/>
          <w:b/>
          <w:bCs/>
          <w:color w:val="1F4E78"/>
          <w:sz w:val="36"/>
          <w:szCs w:val="36"/>
        </w:rPr>
        <w:t>Methodology Note: How These Per-Household Numbers Were Estimated</w:t>
      </w:r>
    </w:p>
    <w:p>
      <w:pPr>
        <w:spacing w:after="240" w:line="340"/>
        <w:jc w:val="both"/>
      </w:pPr>
      <w:r>
        <w:rPr>
          <w:rFonts w:ascii="Georgia" w:cs="Georgia" w:eastAsia="Georgia" w:hAnsi="Georgia"/>
          <w:color w:val="1A1A1A"/>
          <w:sz w:val="24"/>
          <w:szCs w:val="24"/>
        </w:rPr>
        <w:t>The dollar figures in the median household comparison rest on assumptions that affect how readers should interpret them. This section names those assumptions explicitly so that readers can adjust the numbers for their own circumstances rather than treating the median household figures as universal claims.</w:t>
      </w:r>
    </w:p>
    <w:p>
      <w:pPr>
        <w:pStyle w:val="Heading3"/>
        <w:spacing w:after="120" w:before="240"/>
      </w:pPr>
      <w:r>
        <w:rPr>
          <w:rFonts w:ascii="Arial" w:cs="Arial" w:eastAsia="Arial" w:hAnsi="Arial"/>
          <w:b/>
          <w:bCs/>
          <w:color w:val="C00000"/>
          <w:sz w:val="22"/>
          <w:szCs w:val="22"/>
        </w:rPr>
        <w:t>How the wage floor Architecture Affects These Calculations</w:t>
      </w:r>
    </w:p>
    <w:p>
      <w:pPr>
        <w:spacing w:after="240" w:line="340"/>
        <w:jc w:val="both"/>
      </w:pPr>
      <w:r>
        <w:rPr>
          <w:rFonts w:ascii="Georgia" w:cs="Georgia" w:eastAsia="Georgia" w:hAnsi="Georgia"/>
          <w:color w:val="1A1A1A"/>
          <w:sz w:val="24"/>
          <w:szCs w:val="24"/>
        </w:rPr>
        <w:t>The platform-side figures throughout this document use the platform's wage floor architecture, not the current standard-deduction approach. Under this architecture, federal income tax is calculated on income above each occupation's empirical wage floor (set at the Bureau of Labor Statistics (BLS) 25th percentile of wages for the occupation) rather than on income above the standard deduction. For the median household earning $75,000 with two earners in representative middle-income occupations, the combined wage floor exemption is approximately $60,000 (sum of two occupation-specific floors). The taxable income above this floor is $15,000, taxed at the 10% bracket, producing federal income tax of approximately $1,500 — compared to $5,016 under the current standard-deduction system. This $3,516 reduction is the wage floor mechanism in action. The current-system figure ($5,016) uses the existing $29,200 standard deduction for married filing jointly. The household-cost line items (broadband subscription savings, tax preparation expected value, identity theft expected loss) exist independently of the income tax calculation; they apply equally regardless of which tax architecture is in place. The Wage Floors as Tax Architecture document in the analytical framing folder substantiates the design at full depth, including how floors are determined for specific occupations and how the architecture handles two-earner households.</w:t>
      </w:r>
    </w:p>
    <w:p>
      <w:pPr>
        <w:pStyle w:val="Heading3"/>
        <w:spacing w:after="120" w:before="240"/>
      </w:pPr>
      <w:r>
        <w:rPr>
          <w:rFonts w:ascii="Arial" w:cs="Arial" w:eastAsia="Arial" w:hAnsi="Arial"/>
          <w:b/>
          <w:bCs/>
          <w:color w:val="C00000"/>
          <w:sz w:val="22"/>
          <w:szCs w:val="22"/>
        </w:rPr>
        <w:t>Tax Preparation Savings ($150 expected value)</w:t>
      </w:r>
    </w:p>
    <w:p>
      <w:pPr>
        <w:spacing w:after="240" w:line="340"/>
        <w:jc w:val="both"/>
      </w:pPr>
      <w:r>
        <w:rPr>
          <w:rFonts w:ascii="Georgia" w:cs="Georgia" w:eastAsia="Georgia" w:hAnsi="Georgia"/>
          <w:color w:val="1A1A1A"/>
          <w:sz w:val="24"/>
          <w:szCs w:val="24"/>
        </w:rPr>
        <w:t>The Civic Technology pillar's Direct File component, when expanded to all fifty states with pre-population for eligible taxpayers, produces national tax preparation savings estimated at $24-26 billion annually. These savings concentrate in the roughly fifty percent of American households that currently pay for professional tax preparation, where the average annual cost is $290-300. The $150 figure in the median household comparison is the expected value across all households (half the average savings, since half of households currently pay zero for tax preparation and would continue to pay zero). For a household that currently pays for tax prep, the actual savings would be closer to $290; for a household that currently files independently, the savings are zero. Readers can adjust the line item upward or downward based on their own current tax preparation arrangements.</w:t>
      </w:r>
    </w:p>
    <w:p>
      <w:pPr>
        <w:pStyle w:val="Heading3"/>
        <w:spacing w:after="120" w:before="240"/>
      </w:pPr>
      <w:r>
        <w:rPr>
          <w:rFonts w:ascii="Arial" w:cs="Arial" w:eastAsia="Arial" w:hAnsi="Arial"/>
          <w:b/>
          <w:bCs/>
          <w:color w:val="C00000"/>
          <w:sz w:val="22"/>
          <w:szCs w:val="22"/>
        </w:rPr>
        <w:t>Identity Theft / Fraud Expected Loss ($100 to $15)</w:t>
      </w:r>
    </w:p>
    <w:p>
      <w:pPr>
        <w:spacing w:after="240" w:line="340"/>
        <w:jc w:val="both"/>
      </w:pPr>
      <w:r>
        <w:rPr>
          <w:rFonts w:ascii="Georgia" w:cs="Georgia" w:eastAsia="Georgia" w:hAnsi="Georgia"/>
          <w:color w:val="1A1A1A"/>
          <w:sz w:val="24"/>
          <w:szCs w:val="24"/>
        </w:rPr>
        <w:t>The Federal Identity Infrastructure component (Login.gov as a universal federal identity layer) reduces the exposure that produces approximately $43 billion [SUPERSEDED v3.8.239: the sourced figure is $27.3 billion, identity fraud excluding scams, Javelin Identity Fraud Study 2025. The $43 billion came from the 2024 study covering 2023 and is two vintages stale; see 05_Identity_Theft_Reduction.docx] in annual identity theft and fraud losses across American households. Distributed across roughly 132 million households, this averages to approximately $325 per household per year — but most households experience zero direct loss in any given year, while affected households experience losses ranging from hundreds to tens of thousands of dollars. The $100 figure in the comparison is a deliberately conservative estimate of expected annual loss across all households; the $15 platform figure assumes federal identity infrastructure reduces exposure by approximately 80-85%. The conservative approach is intended to undersell rather than overstate the benefit. Readers whose households have experienced identity theft or fraud can substitute their own actual cost; readers who have not experienced it can treat the $100 figure as risk-distributed rather than annually realized.</w:t>
      </w:r>
    </w:p>
    <w:p>
      <w:pPr>
        <w:pStyle w:val="Heading3"/>
        <w:spacing w:after="120" w:before="240"/>
      </w:pPr>
      <w:r>
        <w:rPr>
          <w:rFonts w:ascii="Arial" w:cs="Arial" w:eastAsia="Arial" w:hAnsi="Arial"/>
          <w:b/>
          <w:bCs/>
          <w:color w:val="C00000"/>
          <w:sz w:val="22"/>
          <w:szCs w:val="22"/>
        </w:rPr>
        <w:t>Broadband Subscription Savings ($900)</w:t>
      </w:r>
    </w:p>
    <w:p>
      <w:pPr>
        <w:spacing w:after="240" w:line="340"/>
        <w:jc w:val="both"/>
      </w:pPr>
      <w:r>
        <w:rPr>
          <w:rFonts w:ascii="Georgia" w:cs="Georgia" w:eastAsia="Georgia" w:hAnsi="Georgia"/>
          <w:color w:val="1A1A1A"/>
          <w:sz w:val="24"/>
          <w:szCs w:val="24"/>
        </w:rPr>
        <w:t>The Free Universal Basic Broadband commitment provides 100/20 Mbps service to every American household at no cost to the household. The $900 figure assumes the median household currently pays approximately $75 per month for broadband service. Households that currently pay more (urban areas with limited competition often see $90-110 per month) would see proportionally larger savings; households in rural areas that currently lack broadband access would see the full benefit of new service availability rather than a cost reduction. Households that prefer premium-tier service above the universal basic floor would still have access to that service through commercial providers; the savings figure assumes the household substitutes the universal service for current paid service rather than maintaining both.</w:t>
      </w:r>
    </w:p>
    <w:p>
      <w:pPr>
        <w:pStyle w:val="Heading3"/>
        <w:spacing w:after="120" w:before="240"/>
      </w:pPr>
      <w:r>
        <w:rPr>
          <w:rFonts w:ascii="Arial" w:cs="Arial" w:eastAsia="Arial" w:hAnsi="Arial"/>
          <w:b/>
          <w:bCs/>
          <w:color w:val="C00000"/>
          <w:sz w:val="22"/>
          <w:szCs w:val="22"/>
        </w:rPr>
        <w:t>How This Example Relates to What This Means For You</w:t>
      </w:r>
    </w:p>
    <w:p>
      <w:pPr>
        <w:spacing w:after="240" w:line="340"/>
        <w:jc w:val="both"/>
      </w:pPr>
      <w:r>
        <w:rPr>
          <w:rFonts w:ascii="Georgia" w:cs="Georgia" w:eastAsia="Georgia" w:hAnsi="Georgia"/>
          <w:color w:val="1A1A1A"/>
          <w:sz w:val="24"/>
          <w:szCs w:val="24"/>
        </w:rPr>
        <w:t>The median household example in this document and the side-by-side comparison tables in the companion document What This Means For You answer different questions and therefore use different methodologies. Both are correct; the differences are deliberate.</w:t>
      </w:r>
    </w:p>
    <w:p>
      <w:pPr>
        <w:spacing w:after="240" w:line="340"/>
        <w:jc w:val="both"/>
      </w:pPr>
      <w:r>
        <w:rPr>
          <w:rFonts w:ascii="Georgia" w:cs="Georgia" w:eastAsia="Georgia" w:hAnsi="Georgia"/>
          <w:color w:val="1A1A1A"/>
          <w:sz w:val="24"/>
          <w:szCs w:val="24"/>
        </w:rPr>
        <w:t>This document's median household example uses a broader cost scope. It includes state income tax, out-of-pocket medical expenses, and childcare costs alongside the federal taxes and contributions. The example assumes a transition-state treatment of payroll taxes (FICA continues at 7.65% on the employee side; in mature steady state, the Community Contribution Plan replaces FICA at a revenue-neutral rate). The scenario is specific: married filing jointly at $75,000 in household income with one child who needs childcare. This example was chosen because it represents a typical median household and produces a complete, walkable picture of household finances under each system.</w:t>
      </w:r>
    </w:p>
    <w:p>
      <w:pPr>
        <w:spacing w:after="240" w:line="340"/>
        <w:jc w:val="both"/>
      </w:pPr>
      <w:r>
        <w:rPr>
          <w:rFonts w:ascii="Georgia" w:cs="Georgia" w:eastAsia="Georgia" w:hAnsi="Georgia"/>
          <w:color w:val="1A1A1A"/>
          <w:sz w:val="24"/>
          <w:szCs w:val="24"/>
        </w:rPr>
        <w:t>The What This Means For You tables use a narrower federal-channel scope. They cover federal income tax, federal payroll contributions (current FICA on the current side; universal healthcare, childcare, mental health contributions on the platform side), the household's share of employer-sponsored health insurance premium, and the v2.9 Civic Infrastructure additions (broadband, tax preparation, identity theft expected loss). They exclude state income tax (which varies dramatically across the fifty states), out-of-pocket medical expenses (which vary substantially by household), and childcare costs (relevant only to households with children under five, approximately 26% of US households). The tables show mature steady-state treatment, where Social Security and Medicare payroll taxes are absorbed into the universal healthcare contribution rather than continuing alongside it.</w:t>
      </w:r>
    </w:p>
    <w:p>
      <w:pPr>
        <w:spacing w:after="240" w:line="340"/>
        <w:jc w:val="both"/>
      </w:pPr>
      <w:r>
        <w:rPr>
          <w:rFonts w:ascii="Georgia" w:cs="Georgia" w:eastAsia="Georgia" w:hAnsi="Georgia"/>
          <w:color w:val="1A1A1A"/>
          <w:sz w:val="24"/>
          <w:szCs w:val="24"/>
        </w:rPr>
        <w:t>These differences mean the two documents will produce different savings figures at the same nominal income and filer status. For example, the median household example here ($75,000 MFJ with one child needing childcare) shows $17,179 in annual savings. The corresponding row in What This Means For You (MFJ at $75,000, no kids, mature state, federal-channel scope) shows $14,864 in savings. The discrepancy is real and reflects the methodological differences. A reader who wants the broadest household financial picture should use this document's median household example. A reader who wants to compare scenarios across filer categories and income levels using a consistent narrower federal-channel scope should use What This Means For You. Most readers will benefit from reading both, in that order.</w:t>
      </w:r>
    </w:p>
    <w:p>
      <w:pPr>
        <w:spacing w:after="240" w:line="340"/>
        <w:jc w:val="both"/>
      </w:pPr>
      <w:r>
        <w:rPr>
          <w:rFonts w:ascii="Georgia" w:cs="Georgia" w:eastAsia="Georgia" w:hAnsi="Georgia"/>
          <w:color w:val="1A1A1A"/>
          <w:sz w:val="24"/>
          <w:szCs w:val="24"/>
        </w:rPr>
        <w:t>For research-grade analysis that matches a specific household's actual situation across all relevant cost dimensions (state of residence, occupation-specific wage floor, exact childcare needs, current health insurance arrangement, and so on), the planned v2.12 We The People Calculator will produce personalized side-by-side comparisons with full transparency about every assumption. Until that is available, the two documents above provide complementary views of the same architectural reality.</w:t>
      </w:r>
    </w:p>
    <w:p>
      <w:pPr>
        <w:pStyle w:val="Heading3"/>
        <w:spacing w:after="120" w:before="240"/>
      </w:pPr>
      <w:r>
        <w:rPr>
          <w:rFonts w:ascii="Arial" w:cs="Arial" w:eastAsia="Arial" w:hAnsi="Arial"/>
          <w:b/>
          <w:bCs/>
          <w:color w:val="C00000"/>
          <w:sz w:val="22"/>
          <w:szCs w:val="22"/>
        </w:rPr>
        <w:t>On the Healthcare Contribution Rates (2% employee / 4% employer / 6% combined)</w:t>
      </w:r>
    </w:p>
    <w:p>
      <w:pPr>
        <w:spacing w:after="240" w:line="340"/>
        <w:jc w:val="both"/>
      </w:pPr>
      <w:r>
        <w:rPr>
          <w:rFonts w:ascii="Georgia" w:cs="Georgia" w:eastAsia="Georgia" w:hAnsi="Georgia"/>
          <w:color w:val="1A1A1A"/>
          <w:sz w:val="24"/>
          <w:szCs w:val="24"/>
        </w:rPr>
        <w:t>The healthcare contribution rows in the comparison table above show three values: the employee share (2% — visible on a worker's paystub), the employer share (4% — paid by the firm on the worker's behalf), and the combined rate (6% — the full economic burden on the worker under standard tax-incidence theory, since the employer's contribution comes from wages that would otherwise be paid). This three-value display (Option E, resolved in v3.7.23, documented in OIR Section 130) replaces an earlier single-share convention that varied across the platform's documents. The platform's full healthcare architecture is 4% employer plus 2% employee, totaling 6% of covered payroll. The Federal Fiscal Impact Analysis uses the 6% combined rate for revenue projection; a household's paystub shows the 2% employee share; a firm's labor-cost ledger shows the 4% employer share. All three are consistent answers to different questions, and all three are now shown.</w:t>
      </w:r>
    </w:p>
    <w:p>
      <w:pPr>
        <w:pStyle w:val="Heading1"/>
        <w:spacing w:after="240" w:before="480"/>
      </w:pPr>
      <w:r>
        <w:rPr>
          <w:rFonts w:ascii="Arial" w:cs="Arial" w:eastAsia="Arial" w:hAnsi="Arial"/>
          <w:b/>
          <w:bCs/>
          <w:color w:val="1F4E78"/>
          <w:sz w:val="36"/>
          <w:szCs w:val="36"/>
        </w:rPr>
        <w:t>Intangible Benefits Not Captured in the Dollar Comparison</w:t>
      </w:r>
    </w:p>
    <w:p>
      <w:pPr>
        <w:spacing w:after="240" w:line="340"/>
        <w:jc w:val="both"/>
      </w:pPr>
      <w:r>
        <w:rPr>
          <w:rFonts w:ascii="Georgia" w:cs="Georgia" w:eastAsia="Georgia" w:hAnsi="Georgia"/>
          <w:color w:val="1A1A1A"/>
          <w:sz w:val="24"/>
          <w:szCs w:val="24"/>
        </w:rPr>
        <w:t>The dollar comparison captures the financial impact of the platform on a median household. It does not capture several categories of benefit that are real, that affect quality of life, and that for many households matter as much or more than the dollar figures. These benefits are listed here qualitatively rather than monetized, both because converting them to dollars introduces double-counting risk with figures already in the table and because their value depends on individual circumstances in ways that an averaged dollar figure would obscure.</w:t>
      </w:r>
    </w:p>
    <w:p>
      <w:pPr>
        <w:pStyle w:val="Heading3"/>
        <w:spacing w:after="120" w:before="240"/>
      </w:pPr>
      <w:r>
        <w:rPr>
          <w:rFonts w:ascii="Arial" w:cs="Arial" w:eastAsia="Arial" w:hAnsi="Arial"/>
          <w:b/>
          <w:bCs/>
          <w:color w:val="C00000"/>
          <w:sz w:val="22"/>
          <w:szCs w:val="22"/>
        </w:rPr>
        <w:t>Time Recovered</w:t>
      </w:r>
    </w:p>
    <w:p>
      <w:pPr>
        <w:spacing w:after="240" w:line="340"/>
        <w:jc w:val="both"/>
      </w:pPr>
      <w:r>
        <w:rPr>
          <w:rFonts w:ascii="Georgia" w:cs="Georgia" w:eastAsia="Georgia" w:hAnsi="Georgia"/>
          <w:color w:val="1A1A1A"/>
          <w:sz w:val="24"/>
          <w:szCs w:val="24"/>
        </w:rPr>
        <w:t>American households currently spend an estimated thirteen hours per year on tax compliance, ten to fifteen hours per year on healthcare administration (insurance disputes, claim filings, prior authorization processes, network research), additional hours on childcare arrangements that the universal childcare commitment streamlines, and varying amounts of time navigating federal services that modern digital infrastructure would simplify. Across the platform's commitments, a typical household recovers something in the range of thirty to fifty hours per year that is currently spent on administrative friction. The platform does not assign a dollar value to this time because doing so would either double-count the tax-preparation savings already in the dollar table (if the time is monetized at average wages) or introduce an arbitrary conversion factor. Readers can value their own time at whatever rate they consider appropriate.</w:t>
      </w:r>
    </w:p>
    <w:p>
      <w:pPr>
        <w:pStyle w:val="Heading3"/>
        <w:spacing w:after="120" w:before="240"/>
      </w:pPr>
      <w:r>
        <w:rPr>
          <w:rFonts w:ascii="Arial" w:cs="Arial" w:eastAsia="Arial" w:hAnsi="Arial"/>
          <w:b/>
          <w:bCs/>
          <w:color w:val="C00000"/>
          <w:sz w:val="22"/>
          <w:szCs w:val="22"/>
        </w:rPr>
        <w:t>Reduced Financial Anxiety</w:t>
      </w:r>
    </w:p>
    <w:p>
      <w:pPr>
        <w:spacing w:after="240" w:line="340"/>
        <w:jc w:val="both"/>
      </w:pPr>
      <w:r>
        <w:rPr>
          <w:rFonts w:ascii="Georgia" w:cs="Georgia" w:eastAsia="Georgia" w:hAnsi="Georgia"/>
          <w:color w:val="1A1A1A"/>
          <w:sz w:val="24"/>
          <w:szCs w:val="24"/>
        </w:rPr>
        <w:t>Medical bills are the leading cause of personal bankruptcy in the United States and a primary source of household financial anxiety even among households that do not experience bankruptcy. The platform's healthcare commitment eliminates medical bankruptcy as a category. Childcare cost uncertainty — particularly the gap between affordable infant care availability and household need — is a primary driver of household financial planning stress for working parents. The platform's childcare commitment substantially reduces this. Identity theft, when it occurs, produces months of recovery work and ongoing anxiety about credit and financial security. The platform's federal identity infrastructure reduces both the incidence and the recovery burden. None of these reductions in anxiety appear as line items in the dollar comparison; they are nonetheless real.</w:t>
      </w:r>
    </w:p>
    <w:p>
      <w:pPr>
        <w:pStyle w:val="Heading3"/>
        <w:spacing w:after="120" w:before="240"/>
      </w:pPr>
      <w:r>
        <w:rPr>
          <w:rFonts w:ascii="Arial" w:cs="Arial" w:eastAsia="Arial" w:hAnsi="Arial"/>
          <w:b/>
          <w:bCs/>
          <w:color w:val="C00000"/>
          <w:sz w:val="22"/>
          <w:szCs w:val="22"/>
        </w:rPr>
        <w:t>Peace of Mind from Universal Coverage</w:t>
      </w:r>
    </w:p>
    <w:p>
      <w:pPr>
        <w:spacing w:after="240" w:line="340"/>
        <w:jc w:val="both"/>
      </w:pPr>
      <w:r>
        <w:rPr>
          <w:rFonts w:ascii="Georgia" w:cs="Georgia" w:eastAsia="Georgia" w:hAnsi="Georgia"/>
          <w:color w:val="1A1A1A"/>
          <w:sz w:val="24"/>
          <w:szCs w:val="24"/>
        </w:rPr>
        <w:t>Citizens who currently have good employer-provided healthcare experience a particular form of anxiety in periods of job transition: the prospect of losing coverage during a gap between jobs, the financial pressure to remain in a current job because of healthcare considerations, the COBRA cost cliff that follows employment separation. Citizens with employer-provided childcare or generous parental leave benefits experience similar anxieties when changing employers. The platform's universal coverage commitments eliminate the dependency between employment and access to these services. This is a quality-of-life benefit that exists even for citizens whose dollar arithmetic under the platform is roughly the same as their current arithmetic; the certainty of coverage during life transitions is itself valuable.</w:t>
      </w:r>
    </w:p>
    <w:p>
      <w:pPr>
        <w:pStyle w:val="Heading3"/>
        <w:spacing w:after="120" w:before="240"/>
      </w:pPr>
      <w:r>
        <w:rPr>
          <w:rFonts w:ascii="Arial" w:cs="Arial" w:eastAsia="Arial" w:hAnsi="Arial"/>
          <w:b/>
          <w:bCs/>
          <w:color w:val="C00000"/>
          <w:sz w:val="22"/>
          <w:szCs w:val="22"/>
        </w:rPr>
        <w:t>Choice in Career and Family Decisions</w:t>
      </w:r>
    </w:p>
    <w:p>
      <w:pPr>
        <w:spacing w:after="240" w:line="340"/>
        <w:jc w:val="both"/>
      </w:pPr>
      <w:r>
        <w:rPr>
          <w:rFonts w:ascii="Georgia" w:cs="Georgia" w:eastAsia="Georgia" w:hAnsi="Georgia"/>
          <w:color w:val="1A1A1A"/>
          <w:sz w:val="24"/>
          <w:szCs w:val="24"/>
        </w:rPr>
        <w:t>When healthcare coverage is tied to employment, the cost of leaving a current employer is higher than the dollar value of the new opportunity might suggest, because the transition introduces coverage risk that doesn't appear on a salary comparison. When childcare costs $1,500 per month per child, family decisions about a second income, family size, and parental work schedules are constrained by childcare arithmetic in ways that don't appear in tax tables. The platform's commitments expand the range of career and family decisions that are economically viable for working-class and middle-class households. This is a benefit that economists call 'option value' — the value of being able to make choices that the current system effectively forecloses. The platform delivers substantial option value that the dollar comparison does not capture.</w:t>
      </w:r>
    </w:p>
    <w:p>
      <w:pPr>
        <w:pStyle w:val="Heading3"/>
        <w:spacing w:after="120" w:before="240"/>
      </w:pPr>
      <w:r>
        <w:rPr>
          <w:rFonts w:ascii="Arial" w:cs="Arial" w:eastAsia="Arial" w:hAnsi="Arial"/>
          <w:b/>
          <w:bCs/>
          <w:color w:val="C00000"/>
          <w:sz w:val="22"/>
          <w:szCs w:val="22"/>
        </w:rPr>
        <w:t>Cumulative Lifetime Effects</w:t>
      </w:r>
    </w:p>
    <w:p>
      <w:pPr>
        <w:spacing w:after="240" w:line="340"/>
        <w:jc w:val="both"/>
      </w:pPr>
      <w:r>
        <w:rPr>
          <w:rFonts w:ascii="Georgia" w:cs="Georgia" w:eastAsia="Georgia" w:hAnsi="Georgia"/>
          <w:color w:val="1A1A1A"/>
          <w:sz w:val="24"/>
          <w:szCs w:val="24"/>
        </w:rPr>
        <w:t>The dollar comparison shows annual figures. Over a forty-year working life, the platform's benefits compound substantially. The nominal sum at today's dollar values is approximately $649,000 (40 years × $12,700 per year). However, the platform's commitments tend to scale with the cost of the underlying services they replace — healthcare, childcare, broadband — so household savings grow with general inflation rather than remaining fixed nominal amounts. Adjusting for an assumed 2.5% annual inflation rate, the cumulative nominal savings over forty years total approximately $1,094,000. The present value of those savings discounted at a 2% real rate (what the future savings are worth in today's purchasing power) is approximately $444,000. All three figures describe the same underlying benefit; they differ only in how future dollars are converted to comparable units. If the savings are invested or used to reduce debt rather than spent, the lifetime financial impact compounds further. Similarly, the benefits to children of growing up with healthcare access, quality childcare, and the educational opportunities the platform supports compound across their lifetimes in ways that produce intergenerational effects no single dollar figure can capture.</w:t>
      </w:r>
    </w:p>
    <w:p>
      <w:pPr>
        <w:spacing w:after="240" w:line="340"/>
        <w:jc w:val="both"/>
      </w:pPr>
      <w:r>
        <w:rPr>
          <w:rFonts w:ascii="Georgia" w:cs="Georgia" w:eastAsia="Georgia" w:hAnsi="Georgia"/>
          <w:color w:val="1A1A1A"/>
          <w:sz w:val="24"/>
          <w:szCs w:val="24"/>
        </w:rPr>
        <w:t>These intangible benefits are not platform marketing. They are honest acknowledgments of value the platform delivers that the dollar table cannot represent. Some readers will weight them heavily in their evaluation of the platform; others will discount them in favor of the dollar arithmetic. Both approaches are reasonable. The platform's commitment is to be honest about what it delivers, including the value that does not show up in the comparison table.</w:t>
      </w:r>
    </w:p>
    <w:p>
      <w:pPr>
        <w:pStyle w:val="Heading1"/>
        <w:spacing w:after="240" w:before="480"/>
      </w:pPr>
      <w:r>
        <w:rPr>
          <w:rFonts w:ascii="Arial" w:cs="Arial" w:eastAsia="Arial" w:hAnsi="Arial"/>
          <w:b/>
          <w:bCs/>
          <w:color w:val="1F4E78"/>
          <w:sz w:val="36"/>
          <w:szCs w:val="36"/>
        </w:rPr>
        <w:t xml:space="preserve">Cons: What the Platform Asks Of Citizens</w:t>
      </w:r>
    </w:p>
    <w:p>
      <w:pPr>
        <w:spacing w:after="240" w:line="340"/>
        <w:jc w:val="both"/>
      </w:pPr>
      <w:r>
        <w:rPr>
          <w:rFonts w:ascii="Georgia" w:cs="Georgia" w:eastAsia="Georgia" w:hAnsi="Georgia"/>
          <w:color w:val="1A1A1A"/>
          <w:sz w:val="24"/>
          <w:szCs w:val="24"/>
        </w:rPr>
        <w:t xml:space="preserve">The honest case requires equally honest acknowledgment of what the platform asks citizens to accept. Several of these will be deal-breakers for some readers, and that's a legitimate disagreement to have.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Higher Federal Revenue Collection</w:t>
            </w:r>
          </w:p>
          <w:p>
            <w:pPr>
              <w:spacing w:after="100" w:line="280"/>
            </w:pPr>
            <w:r>
              <w:rPr>
                <w:rFonts w:ascii="Georgia" w:cs="Georgia" w:eastAsia="Georgia" w:hAnsi="Georgia"/>
                <w:color w:val="1A1A1A"/>
                <w:sz w:val="21"/>
                <w:szCs w:val="21"/>
              </w:rPr>
              <w:t xml:space="preserve">•  Federal contribution system collects approximately $3,600 more per year from the median household.</w:t>
            </w:r>
          </w:p>
          <w:p>
            <w:pPr>
              <w:spacing w:after="100" w:line="280"/>
            </w:pPr>
            <w:r>
              <w:rPr>
                <w:rFonts w:ascii="Georgia" w:cs="Georgia" w:eastAsia="Georgia" w:hAnsi="Georgia"/>
                <w:color w:val="1A1A1A"/>
                <w:sz w:val="21"/>
                <w:szCs w:val="21"/>
              </w:rPr>
              <w:t xml:space="preserve">•  High-income households face additional surcharge on income above $200,000.</w:t>
            </w:r>
          </w:p>
          <w:p>
            <w:pPr>
              <w:spacing w:after="100" w:line="280"/>
            </w:pPr>
            <w:r>
              <w:rPr>
                <w:rFonts w:ascii="Georgia" w:cs="Georgia" w:eastAsia="Georgia" w:hAnsi="Georgia"/>
                <w:color w:val="1A1A1A"/>
                <w:sz w:val="21"/>
                <w:szCs w:val="21"/>
              </w:rPr>
              <w:t xml:space="preserve">•  Very high-income households see substantial increases in absolute dollar amounts.</w:t>
            </w:r>
          </w:p>
          <w:p>
            <w:pPr>
              <w:spacing w:after="100" w:line="280"/>
            </w:pPr>
            <w:r>
              <w:rPr>
                <w:rFonts w:ascii="Georgia" w:cs="Georgia" w:eastAsia="Georgia" w:hAnsi="Georgia"/>
                <w:color w:val="1A1A1A"/>
                <w:sz w:val="21"/>
                <w:szCs w:val="21"/>
              </w:rPr>
              <w:t xml:space="preserve">•  The federal contribution system grows in scope and importance.</w:t>
            </w:r>
          </w:p>
          <w:p>
            <w:pPr>
              <w:spacing w:after="100" w:line="280"/>
            </w:pPr>
            <w:r>
              <w:rPr>
                <w:rFonts w:ascii="Georgia" w:cs="Georgia" w:eastAsia="Georgia" w:hAnsi="Georgia"/>
                <w:color w:val="1A1A1A"/>
                <w:sz w:val="21"/>
                <w:szCs w:val="21"/>
              </w:rPr>
              <w:t xml:space="preserve">•  Citizens who oppose larger federal revenue collection on principle face a legitimate concern.</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Reduced Choice in Some Areas</w:t>
            </w:r>
          </w:p>
          <w:p>
            <w:pPr>
              <w:spacing w:after="100" w:line="280"/>
            </w:pPr>
            <w:r>
              <w:rPr>
                <w:rFonts w:ascii="Georgia" w:cs="Georgia" w:eastAsia="Georgia" w:hAnsi="Georgia"/>
                <w:color w:val="1A1A1A"/>
                <w:sz w:val="21"/>
                <w:szCs w:val="21"/>
              </w:rPr>
              <w:t xml:space="preserve">•  Healthcare networks become more standardized within the universal system.</w:t>
            </w:r>
          </w:p>
          <w:p>
            <w:pPr>
              <w:spacing w:after="100" w:line="280"/>
            </w:pPr>
            <w:r>
              <w:rPr>
                <w:rFonts w:ascii="Georgia" w:cs="Georgia" w:eastAsia="Georgia" w:hAnsi="Georgia"/>
                <w:color w:val="1A1A1A"/>
                <w:sz w:val="21"/>
                <w:szCs w:val="21"/>
              </w:rPr>
              <w:t xml:space="preserve">•  Educational institutions accepting Sovereign Education Fund payments must price within cost-based limits.</w:t>
            </w:r>
          </w:p>
          <w:p>
            <w:pPr>
              <w:spacing w:after="100" w:line="280"/>
            </w:pPr>
            <w:r>
              <w:rPr>
                <w:rFonts w:ascii="Georgia" w:cs="Georgia" w:eastAsia="Georgia" w:hAnsi="Georgia"/>
                <w:color w:val="1A1A1A"/>
                <w:sz w:val="21"/>
                <w:szCs w:val="21"/>
              </w:rPr>
              <w:t xml:space="preserve">•  Childcare providers participating in the universal program must meet quality and wage standards.</w:t>
            </w:r>
          </w:p>
          <w:p>
            <w:pPr>
              <w:spacing w:after="100" w:line="280"/>
            </w:pPr>
            <w:r>
              <w:rPr>
                <w:rFonts w:ascii="Georgia" w:cs="Georgia" w:eastAsia="Georgia" w:hAnsi="Georgia"/>
                <w:color w:val="1A1A1A"/>
                <w:sz w:val="21"/>
                <w:szCs w:val="21"/>
              </w:rPr>
              <w:t xml:space="preserve">•  Citizens who currently have premium private options may find those options reduced or eliminated.</w:t>
            </w:r>
          </w:p>
          <w:p>
            <w:pPr>
              <w:spacing w:after="100" w:line="280"/>
            </w:pPr>
            <w:r>
              <w:rPr>
                <w:rFonts w:ascii="Georgia" w:cs="Georgia" w:eastAsia="Georgia" w:hAnsi="Georgia"/>
                <w:color w:val="1A1A1A"/>
                <w:sz w:val="21"/>
                <w:szCs w:val="21"/>
              </w:rPr>
              <w:t xml:space="preserve">•  The trade-off between universal coverage and individual choice is real and not all readers will accept it.</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Transition Costs and Complexity</w:t>
            </w:r>
          </w:p>
          <w:p>
            <w:pPr>
              <w:spacing w:after="100" w:line="280"/>
            </w:pPr>
            <w:r>
              <w:rPr>
                <w:rFonts w:ascii="Georgia" w:cs="Georgia" w:eastAsia="Georgia" w:hAnsi="Georgia"/>
                <w:color w:val="1A1A1A"/>
                <w:sz w:val="21"/>
                <w:szCs w:val="21"/>
              </w:rPr>
              <w:t xml:space="preserve">•  Major institutional transitions are difficult and produce real disruption during the transition years.</w:t>
            </w:r>
          </w:p>
          <w:p>
            <w:pPr>
              <w:spacing w:after="100" w:line="280"/>
            </w:pPr>
            <w:r>
              <w:rPr>
                <w:rFonts w:ascii="Georgia" w:cs="Georgia" w:eastAsia="Georgia" w:hAnsi="Georgia"/>
                <w:color w:val="1A1A1A"/>
                <w:sz w:val="21"/>
                <w:szCs w:val="21"/>
              </w:rPr>
              <w:t xml:space="preserve">•  Healthcare workers, insurance industry workers, and others face workforce changes.</w:t>
            </w:r>
          </w:p>
          <w:p>
            <w:pPr>
              <w:spacing w:after="100" w:line="280"/>
            </w:pPr>
            <w:r>
              <w:rPr>
                <w:rFonts w:ascii="Georgia" w:cs="Georgia" w:eastAsia="Georgia" w:hAnsi="Georgia"/>
                <w:color w:val="1A1A1A"/>
                <w:sz w:val="21"/>
                <w:szCs w:val="21"/>
              </w:rPr>
              <w:t xml:space="preserve">•  Existing private insurance arrangements unwind over a multi-year period.</w:t>
            </w:r>
          </w:p>
          <w:p>
            <w:pPr>
              <w:spacing w:after="100" w:line="280"/>
            </w:pPr>
            <w:r>
              <w:rPr>
                <w:rFonts w:ascii="Georgia" w:cs="Georgia" w:eastAsia="Georgia" w:hAnsi="Georgia"/>
                <w:color w:val="1A1A1A"/>
                <w:sz w:val="21"/>
                <w:szCs w:val="21"/>
              </w:rPr>
              <w:t xml:space="preserve">•  Some current healthcare providers will exit the system rather than accept negotiated pricing.</w:t>
            </w:r>
          </w:p>
          <w:p>
            <w:pPr>
              <w:spacing w:after="100" w:line="280"/>
            </w:pPr>
            <w:r>
              <w:rPr>
                <w:rFonts w:ascii="Georgia" w:cs="Georgia" w:eastAsia="Georgia" w:hAnsi="Georgia"/>
                <w:color w:val="1A1A1A"/>
                <w:sz w:val="21"/>
                <w:szCs w:val="21"/>
              </w:rPr>
              <w:t xml:space="preserve">•  Transition risk is real and not all citizens will see their specific situation improve immediately.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Implementation Risk</w:t>
            </w:r>
          </w:p>
          <w:p>
            <w:pPr>
              <w:spacing w:after="100" w:line="280"/>
            </w:pPr>
            <w:r>
              <w:rPr>
                <w:rFonts w:ascii="Georgia" w:cs="Georgia" w:eastAsia="Georgia" w:hAnsi="Georgia"/>
                <w:color w:val="1A1A1A"/>
                <w:sz w:val="21"/>
                <w:szCs w:val="21"/>
              </w:rPr>
              <w:t xml:space="preserve">•  Federal capacity to administer expanded programs at this scale has not been demonstrated.</w:t>
            </w:r>
          </w:p>
          <w:p>
            <w:pPr>
              <w:spacing w:after="100" w:line="280"/>
            </w:pPr>
            <w:r>
              <w:rPr>
                <w:rFonts w:ascii="Georgia" w:cs="Georgia" w:eastAsia="Georgia" w:hAnsi="Georgia"/>
                <w:color w:val="1A1A1A"/>
                <w:sz w:val="21"/>
                <w:szCs w:val="21"/>
              </w:rPr>
              <w:t xml:space="preserve">•  Cost containment mechanisms required for fiscal viability face strong industry opposition.</w:t>
            </w:r>
          </w:p>
          <w:p>
            <w:pPr>
              <w:spacing w:after="100" w:line="280"/>
            </w:pPr>
            <w:r>
              <w:rPr>
                <w:rFonts w:ascii="Georgia" w:cs="Georgia" w:eastAsia="Georgia" w:hAnsi="Georgia"/>
                <w:color w:val="1A1A1A"/>
                <w:sz w:val="21"/>
                <w:szCs w:val="21"/>
              </w:rPr>
              <w:t xml:space="preserve">•  Workforce expansion in childcare and mental health takes years and may produce quality concerns during buildout.</w:t>
            </w:r>
          </w:p>
          <w:p>
            <w:pPr>
              <w:spacing w:after="100" w:line="280"/>
            </w:pPr>
            <w:r>
              <w:rPr>
                <w:rFonts w:ascii="Georgia" w:cs="Georgia" w:eastAsia="Georgia" w:hAnsi="Georgia"/>
                <w:color w:val="1A1A1A"/>
                <w:sz w:val="21"/>
                <w:szCs w:val="21"/>
              </w:rPr>
              <w:t xml:space="preserve">•  Political coalition required to enact and protect the platform across multiple administrations is uncertain.</w:t>
            </w:r>
          </w:p>
          <w:p>
            <w:pPr>
              <w:spacing w:after="100" w:line="280"/>
            </w:pPr>
            <w:r>
              <w:rPr>
                <w:rFonts w:ascii="Georgia" w:cs="Georgia" w:eastAsia="Georgia" w:hAnsi="Georgia"/>
                <w:color w:val="1A1A1A"/>
                <w:sz w:val="21"/>
                <w:szCs w:val="21"/>
              </w:rPr>
              <w:t xml:space="preserve">•  The platform could be enacted partially and then have key components reversed by future political coalitions.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Philosophical Concerns</w:t>
            </w:r>
          </w:p>
          <w:p>
            <w:pPr>
              <w:spacing w:after="100" w:line="280"/>
            </w:pPr>
            <w:r>
              <w:rPr>
                <w:rFonts w:ascii="Georgia" w:cs="Georgia" w:eastAsia="Georgia" w:hAnsi="Georgia"/>
                <w:color w:val="1A1A1A"/>
                <w:sz w:val="21"/>
                <w:szCs w:val="21"/>
              </w:rPr>
              <w:t xml:space="preserve">•  Citizens who believe healthcare should be a market good rather than public infrastructure face a fundamental disagreement.</w:t>
            </w:r>
          </w:p>
          <w:p>
            <w:pPr>
              <w:spacing w:after="100" w:line="280"/>
            </w:pPr>
            <w:r>
              <w:rPr>
                <w:rFonts w:ascii="Georgia" w:cs="Georgia" w:eastAsia="Georgia" w:hAnsi="Georgia"/>
                <w:color w:val="1A1A1A"/>
                <w:sz w:val="21"/>
                <w:szCs w:val="21"/>
              </w:rPr>
              <w:t xml:space="preserve">•  Citizens who believe federal involvement in childcare or education exceeds appropriate federal scope have a legitimate concern.</w:t>
            </w:r>
          </w:p>
          <w:p>
            <w:pPr>
              <w:spacing w:after="100" w:line="280"/>
            </w:pPr>
            <w:r>
              <w:rPr>
                <w:rFonts w:ascii="Georgia" w:cs="Georgia" w:eastAsia="Georgia" w:hAnsi="Georgia"/>
                <w:color w:val="1A1A1A"/>
                <w:sz w:val="21"/>
                <w:szCs w:val="21"/>
              </w:rPr>
              <w:t xml:space="preserve">•  Citizens who believe individual responsibility for retirement is more important than collective security disagree with the architecture.</w:t>
            </w:r>
          </w:p>
          <w:p>
            <w:pPr>
              <w:spacing w:after="100" w:line="280"/>
            </w:pPr>
            <w:r>
              <w:rPr>
                <w:rFonts w:ascii="Georgia" w:cs="Georgia" w:eastAsia="Georgia" w:hAnsi="Georgia"/>
                <w:color w:val="1A1A1A"/>
                <w:sz w:val="21"/>
                <w:szCs w:val="21"/>
              </w:rPr>
              <w:t xml:space="preserve">•  Citizens who believe redistribution is wrong on principle find the funding mechanism's mild progressivity objectionable.</w:t>
            </w:r>
          </w:p>
          <w:p>
            <w:pPr>
              <w:spacing w:after="100" w:line="280"/>
            </w:pPr>
            <w:r>
              <w:rPr>
                <w:rFonts w:ascii="Georgia" w:cs="Georgia" w:eastAsia="Georgia" w:hAnsi="Georgia"/>
                <w:color w:val="1A1A1A"/>
                <w:sz w:val="21"/>
                <w:szCs w:val="21"/>
              </w:rPr>
              <w:t xml:space="preserve">•  The platform makes value choices that not all citizens will endorse.</w:t>
            </w:r>
          </w:p>
        </w:tc>
      </w:tr>
    </w:tbl>
    <w:p>
      <w:r>
        <w:br w:type="page"/>
      </w:r>
    </w:p>
    <w:p>
      <w:pPr>
        <w:pStyle w:val="Heading1"/>
        <w:spacing w:after="240" w:before="480"/>
      </w:pPr>
      <w:r>
        <w:rPr>
          <w:rFonts w:ascii="Arial" w:cs="Arial" w:eastAsia="Arial" w:hAnsi="Arial"/>
          <w:b/>
          <w:bCs/>
          <w:color w:val="1F4E78"/>
          <w:sz w:val="36"/>
          <w:szCs w:val="36"/>
        </w:rPr>
        <w:t xml:space="preserve">Understanding the Trade</w:t>
      </w:r>
    </w:p>
    <w:p>
      <w:pPr>
        <w:spacing w:after="240" w:line="340"/>
        <w:jc w:val="both"/>
      </w:pPr>
      <w:r>
        <w:rPr>
          <w:rFonts w:ascii="Georgia" w:cs="Georgia" w:eastAsia="Georgia" w:hAnsi="Georgia"/>
          <w:color w:val="1A1A1A"/>
          <w:sz w:val="24"/>
          <w:szCs w:val="24"/>
        </w:rPr>
        <w:t xml:space="preserve">The question “does this raise taxes” ultimately misframes what the platform proposes. The platform doesn't primarily raise or lower taxes. It changes what taxes pay for and what private payments handle.</w:t>
      </w:r>
    </w:p>
    <w:p>
      <w:pPr>
        <w:spacing w:after="200" w:line="320"/>
        <w:jc w:val="both"/>
      </w:pPr>
      <w:r>
        <w:rPr>
          <w:rFonts w:ascii="Georgia" w:cs="Georgia" w:eastAsia="Georgia" w:hAnsi="Georgia"/>
          <w:color w:val="1A1A1A"/>
          <w:sz w:val="22"/>
          <w:szCs w:val="22"/>
        </w:rPr>
        <w:t xml:space="preserve">Currently, American households pay through two channels for the things the platform addresses. They pay through taxes for some portion (Medicare, Medicaid, public schools, Social Security). They pay through private markets for the rest (private health insurance, childcare facilities, college tuition, individual retirement savings, mental health providers). The total amount they pay is the sum of both channels.</w:t>
      </w:r>
    </w:p>
    <w:p>
      <w:pPr>
        <w:spacing w:after="200" w:line="320"/>
        <w:jc w:val="both"/>
      </w:pPr>
      <w:r>
        <w:rPr>
          <w:rFonts w:ascii="Georgia" w:cs="Georgia" w:eastAsia="Georgia" w:hAnsi="Georgia"/>
          <w:color w:val="1A1A1A"/>
          <w:sz w:val="22"/>
          <w:szCs w:val="22"/>
        </w:rPr>
        <w:t xml:space="preserve">The platform's proposition is that the public channel can deliver these services at lower total cost than the combined public-and-private channels currently do. Healthcare delivered through a multi-payer universal system costs less per capita than healthcare delivered through the current mixed system, as evidenced by every developed country's experience. Childcare delivered through Quebec's universal model costs families less than childcare delivered through unsubsidized markets. Education funded through cost-based pricing costs students less than education priced to capture maximum federal aid.</w:t>
      </w:r>
    </w:p>
    <w:p>
      <w:pPr>
        <w:spacing w:after="200" w:line="320"/>
        <w:jc w:val="both"/>
      </w:pPr>
      <w:r>
        <w:rPr>
          <w:rFonts w:ascii="Georgia" w:cs="Georgia" w:eastAsia="Georgia" w:hAnsi="Georgia"/>
          <w:color w:val="1A1A1A"/>
          <w:sz w:val="22"/>
          <w:szCs w:val="22"/>
        </w:rPr>
        <w:t xml:space="preserve">If the public channel delivers these services more efficiently than the mixed channel, redirecting payments from the mixed channel to the public channel produces lower total household costs. This is what the math actually shows. The federal contribution system collects more dollars; the private market collects fewer dollars; the household sends fewer dollars total.</w:t>
      </w:r>
    </w:p>
    <w:p>
      <w:pPr>
        <w:spacing w:after="200" w:line="320"/>
        <w:jc w:val="both"/>
      </w:pPr>
      <w:r>
        <w:rPr>
          <w:rFonts w:ascii="Georgia" w:cs="Georgia" w:eastAsia="Georgia" w:hAnsi="Georgia"/>
          <w:color w:val="1A1A1A"/>
          <w:sz w:val="22"/>
          <w:szCs w:val="22"/>
        </w:rPr>
        <w:t xml:space="preserve">The trade is real. Some choice is reduced in exchange for more security. Some federal capacity is expanded in exchange for less private market complexity. Some current private industry is displaced by public infrastructure. Whether the trade is worth making is a judgment call. The platform's argument is that the analytical evidence and international precedents support making it. Reasonable people can disagree, and the disagreement should be on the merits rather than on whether the platform raises taxes.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“Households pay less. Government collects more. Both are true. The platform shifts how Americans fund the things they need, in ways that reduce the total cost while expanding the scope of what they receive.”</w:t>
            </w:r>
          </w:p>
        </w:tc>
      </w:tr>
    </w:tbl>
    <w:p>
      <w:r>
        <w:br w:type="page"/>
      </w:r>
    </w:p>
    <w:p>
      <w:pPr>
        <w:pStyle w:val="Heading1"/>
        <w:spacing w:after="240" w:before="480"/>
      </w:pPr>
      <w:r>
        <w:rPr>
          <w:rFonts w:ascii="Arial" w:cs="Arial" w:eastAsia="Arial" w:hAnsi="Arial"/>
          <w:b/>
          <w:bCs/>
          <w:color w:val="1F4E78"/>
          <w:sz w:val="36"/>
          <w:szCs w:val="36"/>
        </w:rPr>
        <w:t xml:space="preserve">Who Pays More Under the Platform</w:t>
      </w:r>
    </w:p>
    <w:p>
      <w:pPr>
        <w:spacing w:after="240" w:line="340"/>
        <w:jc w:val="both"/>
      </w:pPr>
      <w:r>
        <w:rPr>
          <w:rFonts w:ascii="Georgia" w:cs="Georgia" w:eastAsia="Georgia" w:hAnsi="Georgia"/>
          <w:color w:val="1A1A1A"/>
          <w:sz w:val="24"/>
          <w:szCs w:val="24"/>
        </w:rPr>
        <w:t xml:space="preserve">Honesty requires acknowledging that some Americans will pay more under the platform than they currently do. The platform's funding mechanism is mildly progressive, and progressive funding mechanisms produce different effects at different income levels.</w:t>
      </w:r>
    </w:p>
    <w:p>
      <w:pPr>
        <w:pStyle w:val="Heading3"/>
        <w:spacing w:after="120" w:before="240"/>
      </w:pPr>
      <w:r>
        <w:rPr>
          <w:rFonts w:ascii="Arial" w:cs="Arial" w:eastAsia="Arial" w:hAnsi="Arial"/>
          <w:b/>
          <w:bCs/>
          <w:color w:val="C00000"/>
          <w:sz w:val="22"/>
          <w:szCs w:val="22"/>
        </w:rPr>
        <w:t xml:space="preserve">Very High-Income Households</w:t>
      </w:r>
    </w:p>
    <w:p>
      <w:pPr>
        <w:spacing w:after="200" w:line="320"/>
        <w:jc w:val="both"/>
      </w:pPr>
      <w:r>
        <w:rPr>
          <w:rFonts w:ascii="Georgia" w:cs="Georgia" w:eastAsia="Georgia" w:hAnsi="Georgia"/>
          <w:color w:val="1A1A1A"/>
          <w:sz w:val="22"/>
          <w:szCs w:val="22"/>
        </w:rPr>
        <w:t>Households earning above $250,000 face the largest increase in absolute dollars. The graduated income surcharge (5% above $250K, 10% above $500K, 15% above $1M for single filers; doubled thresholds for MFJ) produces substantial contributions for these households, and they typically don't see proportionally larger savings on healthcare or childcare because they were already paying more for these services privately. A household earning $500,000 pays approximately $6,000 more per year under the platform than under the current system, accounting for healthcare and childcare savings.</w:t>
      </w:r>
    </w:p>
    <w:p>
      <w:pPr>
        <w:spacing w:after="200" w:line="320"/>
        <w:jc w:val="both"/>
      </w:pPr>
      <w:r>
        <w:rPr>
          <w:rFonts w:ascii="Georgia" w:cs="Georgia" w:eastAsia="Georgia" w:hAnsi="Georgia"/>
          <w:color w:val="1A1A1A"/>
          <w:sz w:val="22"/>
          <w:szCs w:val="22"/>
        </w:rPr>
        <w:t xml:space="preserve">This is the platform's funding source for universal coverage. The architecture is honest about this. Very high-income households pay more so that lower-income households can pay less and receive more. Citizens who object to this redistribution on principle should know this is happening rather than discovering it after enactment.</w:t>
      </w:r>
    </w:p>
    <w:p>
      <w:pPr>
        <w:pStyle w:val="Heading3"/>
        <w:spacing w:after="120" w:before="240"/>
      </w:pPr>
      <w:r>
        <w:rPr>
          <w:rFonts w:ascii="Arial" w:cs="Arial" w:eastAsia="Arial" w:hAnsi="Arial"/>
          <w:b/>
          <w:bCs/>
          <w:color w:val="C00000"/>
          <w:sz w:val="22"/>
          <w:szCs w:val="22"/>
        </w:rPr>
        <w:t xml:space="preserve">Healthy Single Adults Without Dependents</w:t>
      </w:r>
    </w:p>
    <w:p>
      <w:pPr>
        <w:spacing w:after="200" w:line="320"/>
        <w:jc w:val="both"/>
      </w:pPr>
      <w:r>
        <w:rPr>
          <w:rFonts w:ascii="Georgia" w:cs="Georgia" w:eastAsia="Georgia" w:hAnsi="Georgia"/>
          <w:color w:val="1A1A1A"/>
          <w:sz w:val="22"/>
          <w:szCs w:val="22"/>
        </w:rPr>
        <w:t xml:space="preserve">Single adults in good health with no childcare needs and no current significant medical expenses see smaller benefits from the platform than households with greater needs. Their healthcare contribution may exceed what they would otherwise spend on a high-deductible plan they rarely use. Their childcare contribution funds something they don't currently use. They benefit from having care available if their circumstances change, but the immediate financial calculus is less favorable.</w:t>
      </w:r>
    </w:p>
    <w:p>
      <w:pPr>
        <w:spacing w:after="200" w:line="320"/>
        <w:jc w:val="both"/>
      </w:pPr>
      <w:r>
        <w:rPr>
          <w:rFonts w:ascii="Georgia" w:cs="Georgia" w:eastAsia="Georgia" w:hAnsi="Georgia"/>
          <w:color w:val="1A1A1A"/>
          <w:sz w:val="22"/>
          <w:szCs w:val="22"/>
        </w:rPr>
        <w:t xml:space="preserve">These citizens are paying for the security of universal infrastructure rather than for services they currently consume. The platform argues this is worth doing. Some citizens in this category will agree; others will not. The disagreement is legitimate.</w:t>
      </w:r>
    </w:p>
    <w:p>
      <w:pPr>
        <w:pStyle w:val="Heading3"/>
        <w:spacing w:after="120" w:before="240"/>
      </w:pPr>
      <w:r>
        <w:rPr>
          <w:rFonts w:ascii="Arial" w:cs="Arial" w:eastAsia="Arial" w:hAnsi="Arial"/>
          <w:b/>
          <w:bCs/>
          <w:color w:val="C00000"/>
          <w:sz w:val="22"/>
          <w:szCs w:val="22"/>
        </w:rPr>
        <w:t xml:space="preserve">Citizens With Existing Premium Coverage</w:t>
      </w:r>
    </w:p>
    <w:p>
      <w:pPr>
        <w:spacing w:after="200" w:line="320"/>
        <w:jc w:val="both"/>
      </w:pPr>
      <w:r>
        <w:rPr>
          <w:rFonts w:ascii="Georgia" w:cs="Georgia" w:eastAsia="Georgia" w:hAnsi="Georgia"/>
          <w:color w:val="1A1A1A"/>
          <w:sz w:val="22"/>
          <w:szCs w:val="22"/>
        </w:rPr>
        <w:t xml:space="preserve">Citizens whose current employer provides exceptional health benefits, on-site childcare, or substantial educational benefits may find the platform replaces premium private benefits with standard public benefits. The standard public benefits are universally available and meet defined quality criteria, but they may not match the premium benefits some Americans currently receive. The platform produces a leveling effect that benefits citizens currently underserved while reducing what citizens currently overserved receive in some narrow respects.</w:t>
      </w:r>
    </w:p>
    <w:p>
      <w:pPr>
        <w:pStyle w:val="Heading3"/>
        <w:spacing w:after="120" w:before="240"/>
      </w:pPr>
      <w:r>
        <w:rPr>
          <w:rFonts w:ascii="Arial" w:cs="Arial" w:eastAsia="Arial" w:hAnsi="Arial"/>
          <w:b/>
          <w:bCs/>
          <w:color w:val="C00000"/>
          <w:sz w:val="22"/>
          <w:szCs w:val="22"/>
        </w:rPr>
        <w:t xml:space="preserve">The Honest Trade</w:t>
      </w:r>
    </w:p>
    <w:p>
      <w:pPr>
        <w:spacing w:after="200" w:line="320"/>
        <w:jc w:val="both"/>
      </w:pPr>
      <w:r>
        <w:rPr>
          <w:rFonts w:ascii="Georgia" w:cs="Georgia" w:eastAsia="Georgia" w:hAnsi="Georgia"/>
          <w:color w:val="1A1A1A"/>
          <w:sz w:val="22"/>
          <w:szCs w:val="22"/>
        </w:rPr>
        <w:t xml:space="preserve">These specific groups paying more is what makes universal coverage possible for the larger group paying less. The platform is not a free lunch for everyone. It is a redistribution of who pays what for the things Americans collectively need. The redistribution is mild compared to most progressive policy proposals, but it is real, and citizens evaluating the platform should understand who specifically is asked to pay more in exchange for what specifically becomes universally available.</w:t>
      </w:r>
    </w:p>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tax question is the question every honest reader should ask, and the platform deserves an honest answer rather than rhetorical evasion.</w:t>
      </w:r>
    </w:p>
    <w:p>
      <w:pPr>
        <w:spacing w:after="200" w:line="320"/>
        <w:jc w:val="both"/>
      </w:pPr>
      <w:r>
        <w:rPr>
          <w:rFonts w:ascii="Georgia" w:cs="Georgia" w:eastAsia="Georgia" w:hAnsi="Georgia"/>
          <w:color w:val="1A1A1A"/>
          <w:sz w:val="22"/>
          <w:szCs w:val="22"/>
        </w:rPr>
        <w:t>The answer: federal contribution collection increases by approximately $3,600 per year for the median household. Total household costs decrease by approximately $12,700 per year for the same household. Net household finances improve by about $8,000 per year for most households, with larger benefits for lower-income households and smaller benefits or modest costs for very high-income households. The platform's funding mechanism is mildly progressive.</w:t>
      </w:r>
    </w:p>
    <w:p>
      <w:pPr>
        <w:spacing w:after="200" w:line="320"/>
        <w:jc w:val="both"/>
      </w:pPr>
      <w:r>
        <w:rPr>
          <w:rFonts w:ascii="Georgia" w:cs="Georgia" w:eastAsia="Georgia" w:hAnsi="Georgia"/>
          <w:color w:val="1A1A1A"/>
          <w:sz w:val="22"/>
          <w:szCs w:val="22"/>
        </w:rPr>
        <w:t xml:space="preserve">Whether this trade is worth making is a values judgment, not just an analytical one. Citizens who prioritize lower federal revenue collection regardless of effects on household finances will find the platform unacceptable. Citizens who prioritize lower total household costs and broader universal coverage will find it favorable. Citizens who weigh both considerations will reach their own conclusions based on the specific facts of their situation.</w:t>
      </w:r>
    </w:p>
    <w:p>
      <w:pPr>
        <w:spacing w:after="200" w:line="320"/>
        <w:jc w:val="both"/>
      </w:pPr>
      <w:r>
        <w:rPr>
          <w:rFonts w:ascii="Georgia" w:cs="Georgia" w:eastAsia="Georgia" w:hAnsi="Georgia"/>
          <w:color w:val="1A1A1A"/>
          <w:sz w:val="22"/>
          <w:szCs w:val="22"/>
        </w:rPr>
        <w:t xml:space="preserve">This document has tried to present the facts honestly so that citizens can reach informed conclusions rather than reflexive ones. The platform's case rests on the analytical evidence rather than on rhetoric. Engagement with the analytical evidence is welcomed. Disagreement on the merits is welcomed. What the document hopes to discourage is dismissal based on partial framing of what the platform actually does.</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“Both statements are true. Households pay less. Government collects more. The platform redirects payments from private fragmented systems to public pooled infrastructure. The total American family pays less under the platform than they pay today.”</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2026</w:t>
      </w:r>
    </w:p>
    <w:p>
      <w:pPr>
        <w:pStyle w:val="Heading1"/>
        <w:spacing w:after="240" w:before="480"/>
      </w:pPr>
      <w:r>
        <w:rPr>
          <w:rFonts w:ascii="Arial" w:cs="Arial" w:eastAsia="Arial" w:hAnsi="Arial"/>
          <w:b/>
          <w:bCs/>
          <w:color w:val="1F4E78"/>
          <w:sz w:val="36"/>
          <w:szCs w:val="36"/>
        </w:rPr>
        <w:t>Cross-References for Specific Household Situations</w:t>
      </w:r>
    </w:p>
    <w:p>
      <w:pPr>
        <w:spacing w:after="240" w:line="340"/>
        <w:jc w:val="both"/>
      </w:pPr>
      <w:r>
        <w:rPr>
          <w:rFonts w:ascii="Georgia" w:cs="Georgia" w:eastAsia="Georgia" w:hAnsi="Georgia"/>
          <w:color w:val="1A1A1A"/>
          <w:sz w:val="24"/>
          <w:szCs w:val="24"/>
        </w:rPr>
        <w:t>The household examples in this document use a working-income married-filing-jointly household with one child needing childcare as the central case. The platform's treatment varies meaningfully for households outside this anchor case. Readers whose household does not match the anchor should consult the relevant analytical framing document for situation-specific analysis.</w:t>
      </w:r>
    </w:p>
    <w:p>
      <w:pPr>
        <w:spacing w:after="240" w:line="340"/>
        <w:jc w:val="both"/>
      </w:pPr>
      <w:r>
        <w:rPr>
          <w:rFonts w:ascii="Georgia" w:cs="Georgia" w:eastAsia="Georgia" w:hAnsi="Georgia"/>
          <w:color w:val="1A1A1A"/>
          <w:sz w:val="24"/>
          <w:szCs w:val="24"/>
        </w:rPr>
        <w:t>If the household is retired or near retirement, with retirement income as the primary source: see Existing Pensioners and the Platform. The wage floor exemption applies to retirement income through standard tax architecture, but the broader household savings figures in this document depend on labor income that retirees do not have. Item 68 develops the retiree-specific analysis.</w:t>
      </w:r>
    </w:p>
    <w:p>
      <w:pPr>
        <w:spacing w:after="240" w:line="340"/>
        <w:jc w:val="both"/>
      </w:pPr>
      <w:r>
        <w:rPr>
          <w:rFonts w:ascii="Georgia" w:cs="Georgia" w:eastAsia="Georgia" w:hAnsi="Georgia"/>
          <w:color w:val="1A1A1A"/>
          <w:sz w:val="24"/>
          <w:szCs w:val="24"/>
        </w:rPr>
        <w:t>If the household consists of two adults who live together without being married: see Cohabiting Unmarried Couples. The wage floor architecture treats cohabiting couples as separate filers, which produces different (sometimes more favorable, sometimes less) tax outcomes than the married-filing-jointly examples in this document. Item 66 develops the cohabiting-couple-specific analysis.</w:t>
      </w:r>
    </w:p>
    <w:p>
      <w:pPr>
        <w:spacing w:after="240" w:line="340"/>
        <w:jc w:val="both"/>
      </w:pPr>
      <w:r>
        <w:rPr>
          <w:rFonts w:ascii="Georgia" w:cs="Georgia" w:eastAsia="Georgia" w:hAnsi="Georgia"/>
          <w:color w:val="1A1A1A"/>
          <w:sz w:val="24"/>
          <w:szCs w:val="24"/>
        </w:rPr>
        <w:t>If the household is multigenerational (three generations, or adult children with parents, or grandparents raising grandchildren): see Multigenerational Households. The wage floor architecture handles multigenerational households cleanly because wage floors operate at the individual filer level rather than the household level, but Bridge Credit evaluation and dependent allocation become more complex. Item 71 develops the multigenerational-specific analysis.</w:t>
      </w:r>
    </w:p>
    <w:p>
      <w:pPr>
        <w:spacing w:after="240" w:line="340"/>
        <w:jc w:val="both"/>
      </w:pPr>
      <w:r>
        <w:rPr>
          <w:rFonts w:ascii="Georgia" w:cs="Georgia" w:eastAsia="Georgia" w:hAnsi="Georgia"/>
          <w:color w:val="1A1A1A"/>
          <w:sz w:val="24"/>
          <w:szCs w:val="24"/>
        </w:rPr>
        <w:t>If the household includes non-citizens or is mixed-status: see Non-Citizens And Platform Eligibility. The platform's federal tax architecture applies to non-citizens with valid Social Security Numbers or Individual Taxpayer Identification Numbers, but specific platform commitments (universal healthcare access, Founding Stake, Bridge Credit) have eligibility design choices that Non-Citizens And Platform Eligibility develops in detail.</w:t>
      </w:r>
    </w:p>
    <w:p>
      <w:pPr>
        <w:pStyle w:val="Heading1"/>
        <w:spacing w:after="240" w:before="480"/>
      </w:pPr>
      <w:r>
        <w:rPr>
          <w:rFonts w:ascii="Arial" w:cs="Arial" w:eastAsia="Arial" w:hAnsi="Arial"/>
          <w:b/>
          <w:bCs/>
          <w:color w:val="1F4E78"/>
          <w:sz w:val="36"/>
          <w:szCs w:val="36"/>
        </w:rPr>
        <w:t>Net Household Impact: Concrete Dollar Figures</w:t>
      </w:r>
    </w:p>
    <w:p>
      <w:pPr>
        <w:spacing w:before="600"/>
        <w:jc w:val="center"/>
      </w:pPr>
      <w:r>
        <w:rPr>
          <w:rFonts w:ascii="Arial" w:cs="Arial" w:eastAsia="Arial" w:hAnsi="Arial"/>
          <w:i/>
          <w:iCs/>
          <w:color w:val="595959"/>
          <w:sz w:val="16"/>
          <w:szCs w:val="16"/>
        </w:rPr>
        <w:t>This section addresses a net-impact-calculation-opacity finding from the v3.1.0 concerned-citizen persona simulation. The preceding sections explain why the platform is not a tax increase in net but the explanation requires the reader to follow the architectural argument rather than trust a single net-impact number. This section provides concrete net-household-impact figures for representative household types so concerned citizens can quickly find their situation and form opinions based on concrete numbers.</w:t>
      </w:r>
    </w:p>
    <w:p>
      <w:pPr>
        <w:pStyle w:val="Heading2"/>
        <w:spacing w:after="160" w:before="360"/>
      </w:pPr>
      <w:r>
        <w:rPr>
          <w:rFonts w:ascii="Arial" w:cs="Arial" w:eastAsia="Arial" w:hAnsi="Arial"/>
          <w:b/>
          <w:bCs/>
          <w:color w:val="1F4E78"/>
          <w:sz w:val="28"/>
          <w:szCs w:val="28"/>
        </w:rPr>
        <w:t>Lower-income working family (household income $40,000)</w:t>
      </w:r>
    </w:p>
    <w:p>
      <w:pPr>
        <w:spacing w:before="600"/>
        <w:jc w:val="center"/>
      </w:pPr>
      <w:r>
        <w:rPr>
          <w:rFonts w:ascii="Arial" w:cs="Arial" w:eastAsia="Arial" w:hAnsi="Arial"/>
          <w:i/>
          <w:iCs/>
          <w:color w:val="595959"/>
          <w:sz w:val="16"/>
          <w:szCs w:val="16"/>
        </w:rPr>
        <w:t>Lower-income working family at $40,000 household income: net annual savings of approximately $4,200. The net savings combine: elimination of approximately $3,000 in private health-insurance premiums and out-of-pocket healthcare costs; reduction of approximately $800 in federal income tax (wage-floor exemption removes federal income tax burden on income below the occupational wage floor); reduction of approximately $400 in state-level telecom-tax patchwork burden; addition of approximately $1,200 in universal healthcare and other federal contributions. Net effect: $4,200 better off per year.</w:t>
      </w:r>
    </w:p>
    <w:p>
      <w:pPr>
        <w:pStyle w:val="Heading2"/>
        <w:spacing w:after="160" w:before="360"/>
      </w:pPr>
      <w:r>
        <w:rPr>
          <w:rFonts w:ascii="Arial" w:cs="Arial" w:eastAsia="Arial" w:hAnsi="Arial"/>
          <w:b/>
          <w:bCs/>
          <w:color w:val="1F4E78"/>
          <w:sz w:val="28"/>
          <w:szCs w:val="28"/>
        </w:rPr>
        <w:t>Middle-income working family (household income $90,000)</w:t>
      </w:r>
    </w:p>
    <w:p>
      <w:pPr>
        <w:spacing w:before="600"/>
        <w:jc w:val="center"/>
      </w:pPr>
      <w:r>
        <w:rPr>
          <w:rFonts w:ascii="Arial" w:cs="Arial" w:eastAsia="Arial" w:hAnsi="Arial"/>
          <w:i/>
          <w:iCs/>
          <w:color w:val="595959"/>
          <w:sz w:val="16"/>
          <w:szCs w:val="16"/>
        </w:rPr>
        <w:t>Middle-income working family at $90,000 household income with two children: net annual savings of approximately [[FIG:FIG-household-net-savings]]. The net savings combine: elimination of approximately $14,000 in private health-insurance premiums and out-of-pocket healthcare costs (this is the largest single component); elimination of approximately $11,000 in private childcare costs (universal childcare); reduction of approximately $1,500 in federal income tax; addition of approximately $3,600 in universal healthcare, childcare, and other federal contributions; addition of approximately $11,400 in Sovereign Fund contributions (which accumulate to retirement balance rather than being current expense). Net effect on current cash flow: [[FIG:FIG-household-net-savings]] better off per year, plus Sovereign Fund balance accumulation that becomes retirement income.</w:t>
      </w:r>
    </w:p>
    <w:p>
      <w:pPr>
        <w:pStyle w:val="Heading2"/>
        <w:spacing w:after="160" w:before="360"/>
      </w:pPr>
      <w:r>
        <w:rPr>
          <w:rFonts w:ascii="Arial" w:cs="Arial" w:eastAsia="Arial" w:hAnsi="Arial"/>
          <w:b/>
          <w:bCs/>
          <w:color w:val="1F4E78"/>
          <w:sz w:val="28"/>
          <w:szCs w:val="28"/>
        </w:rPr>
        <w:t>Upper-middle-income family (household income $200,000)</w:t>
      </w:r>
    </w:p>
    <w:p>
      <w:pPr>
        <w:spacing w:before="600"/>
        <w:jc w:val="center"/>
      </w:pPr>
      <w:r>
        <w:rPr>
          <w:rFonts w:ascii="Arial" w:cs="Arial" w:eastAsia="Arial" w:hAnsi="Arial"/>
          <w:i/>
          <w:iCs/>
          <w:color w:val="595959"/>
          <w:sz w:val="16"/>
          <w:szCs w:val="16"/>
        </w:rPr>
        <w:t>Upper-middle-income family at $200,000 household income with two children: net annual savings of approximately $5,500 on current cash flow plus Sovereign Fund accumulation. The net savings combine: elimination of approximately $20,000 in private health-insurance premiums and out-of-pocket healthcare costs; elimination of approximately $15,000 in private childcare costs; increase of approximately $4,000 in federal income tax (graduated income surcharge applies in a modest amount at this income level); addition of approximately $8,000 in universal healthcare, childcare, and other federal contributions; addition of approximately $18,000 in Sovereign Fund contributions. Net effect on current cash flow: $5,500 better off per year, plus Sovereign Fund balance accumulation.</w:t>
      </w:r>
    </w:p>
    <w:p>
      <w:pPr>
        <w:pStyle w:val="Heading2"/>
        <w:spacing w:after="160" w:before="360"/>
      </w:pPr>
      <w:r>
        <w:rPr>
          <w:rFonts w:ascii="Arial" w:cs="Arial" w:eastAsia="Arial" w:hAnsi="Arial"/>
          <w:b/>
          <w:bCs/>
          <w:color w:val="1F4E78"/>
          <w:sz w:val="28"/>
          <w:szCs w:val="28"/>
        </w:rPr>
        <w:t>Retiree household (income $35,000 from Social Security plus modest savings)</w:t>
      </w:r>
    </w:p>
    <w:p>
      <w:pPr>
        <w:spacing w:before="600"/>
        <w:jc w:val="center"/>
      </w:pPr>
      <w:r>
        <w:rPr>
          <w:rFonts w:ascii="Arial" w:cs="Arial" w:eastAsia="Arial" w:hAnsi="Arial"/>
          <w:i/>
          <w:iCs/>
          <w:color w:val="595959"/>
          <w:sz w:val="16"/>
          <w:szCs w:val="16"/>
        </w:rPr>
        <w:t>Retiree household at $35,000 income (Social Security plus modest withdrawal from retirement savings): net annual savings of approximately $2,200. The net savings combine: elimination of approximately $2,800 in supplemental-insurance and out-of-pocket healthcare costs; reduction of approximately $400 in federal income tax; addition of approximately $1,000 in dividend distributions from accumulated Sovereign Fund balance (retirees receive distributions; they do not contribute). Note: Social Security benefits are not reduced under the platform (documented in detail in the platform's What This Means For You Social Security Benefits section); the retiree continues to receive full Social Security plus the platform-introduced supplements.</w:t>
      </w:r>
    </w:p>
    <w:p>
      <w:pPr>
        <w:pStyle w:val="Heading2"/>
        <w:spacing w:after="160" w:before="360"/>
      </w:pPr>
      <w:r>
        <w:rPr>
          <w:rFonts w:ascii="Arial" w:cs="Arial" w:eastAsia="Arial" w:hAnsi="Arial"/>
          <w:b/>
          <w:bCs/>
          <w:color w:val="1F4E78"/>
          <w:sz w:val="28"/>
          <w:szCs w:val="28"/>
        </w:rPr>
        <w:t>High-income household (income $400,000)</w:t>
      </w:r>
    </w:p>
    <w:p>
      <w:pPr>
        <w:spacing w:before="600"/>
        <w:jc w:val="center"/>
      </w:pPr>
      <w:r>
        <w:rPr>
          <w:rFonts w:ascii="Arial" w:cs="Arial" w:eastAsia="Arial" w:hAnsi="Arial"/>
          <w:i/>
          <w:iCs/>
          <w:color w:val="595959"/>
          <w:sz w:val="16"/>
          <w:szCs w:val="16"/>
        </w:rPr>
        <w:t>High-income household at $400,000 income: net annual cost of approximately $8,000 on current cash flow, partially offset by Sovereign Fund accumulation. The net cost combines: elimination of approximately $25,000 in private health-insurance premiums and out-of-pocket healthcare costs; increase of approximately $22,000 in federal income tax (graduated income surcharge applies more substantially at this income level); addition of approximately $11,000 in universal healthcare, childcare, and other federal contributions; addition of approximately $36,000 in Sovereign Fund contributions. Net effect on current cash flow: $8,000 worse off per year, partially offset by Sovereign Fund balance accumulation that becomes retirement income. The net cost reflects the platform's progressive financing structure; high-income households contribute more to public goods than they personally extract from the system, which is the architectural intent.</w:t>
      </w:r>
    </w:p>
    <w:p>
      <w:pPr>
        <w:pStyle w:val="Heading2"/>
        <w:spacing w:after="160" w:before="360"/>
      </w:pPr>
      <w:r>
        <w:rPr>
          <w:rFonts w:ascii="Arial" w:cs="Arial" w:eastAsia="Arial" w:hAnsi="Arial"/>
          <w:b/>
          <w:bCs/>
          <w:color w:val="1F4E78"/>
          <w:sz w:val="28"/>
          <w:szCs w:val="28"/>
        </w:rPr>
        <w:t>How to find your situation</w:t>
      </w:r>
    </w:p>
    <w:p>
      <w:pPr>
        <w:spacing w:before="600"/>
        <w:jc w:val="center"/>
      </w:pPr>
      <w:r>
        <w:rPr>
          <w:rFonts w:ascii="Arial" w:cs="Arial" w:eastAsia="Arial" w:hAnsi="Arial"/>
          <w:i/>
          <w:iCs/>
          <w:color w:val="595959"/>
          <w:sz w:val="16"/>
          <w:szCs w:val="16"/>
        </w:rPr>
        <w:t>The five household types above are intentionally chosen to span the income distribution. Most households fall close to one of the five types and can use the corresponding figure as a useful approximation. Households who want more precise estimates can use the platform's interactive calculator (06_Presentation_Materials), which accepts more granular inputs and produces household-specific net-impact figures. Households whose circumstances differ substantially from the five representative types (multi-generational households; households with high medical expenses; households with unusual income structures) may find the calculator more useful than the representative-type figures. The figures above use canonical platform parameters (documented in the Healthcare Transition Detailed Plan and the Federal Fiscal Impact Analysis); future iterations may refine the figures as parameter calibration improves.</w:t>
      </w:r>
    </w:p>
    <w:p>
      <w:pPr>
        <w:spacing w:after="240" w:line="340"/>
        <w:jc w:val="both"/>
      </w:pPr>
      <w:r>
        <w:rPr>
          <w:rFonts w:ascii="Georgia" w:cs="Georgia" w:eastAsia="Georgia" w:hAnsi="Georgia"/>
          <w:color w:val="1A1A1A"/>
          <w:sz w:val="24"/>
          <w:szCs w:val="24"/>
        </w:rPr>
        <w:t>If the household lives in a US territory: see US Territories and the Platform. Federal income tax architecture varies substantially across territories — Puerto Rico residents do not pay federal income tax on Puerto Rico-source income, mirror-code territories operate differently, and American Samoa has a separate tax code. The household examples in this document assume US state residency.</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Tax Analysis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Does This Raise Taxes? — An Honest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This Raise Taxes? — An Honest Analysis</dc:title>
  <dc:creator>Jason</dc:creator>
  <cp:lastModifiedBy>Un-named</cp:lastModifiedBy>
  <cp:revision>1</cp:revision>
  <dcterms:created xsi:type="dcterms:W3CDTF">2026-05-03T14:25:27.191Z</dcterms:created>
  <dcterms:modified xsi:type="dcterms:W3CDTF">2026-05-03T14:25:27.192Z</dcterms:modified>
</cp:coreProperties>
</file>

<file path=docProps/custom.xml><?xml version="1.0" encoding="utf-8"?>
<Properties xmlns="http://schemas.openxmlformats.org/officeDocument/2006/custom-properties" xmlns:vt="http://schemas.openxmlformats.org/officeDocument/2006/docPropsVTypes"/>
</file>